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CEEEB" w14:textId="77777777" w:rsidR="00CD530C" w:rsidRPr="008C157E" w:rsidRDefault="008C157E" w:rsidP="008C157E">
      <w:pPr>
        <w:jc w:val="center"/>
        <w:rPr>
          <w:b/>
          <w:bCs/>
          <w:sz w:val="28"/>
          <w:szCs w:val="28"/>
        </w:rPr>
      </w:pPr>
      <w:r w:rsidRPr="008C157E">
        <w:rPr>
          <w:b/>
          <w:bCs/>
          <w:sz w:val="28"/>
          <w:szCs w:val="28"/>
        </w:rPr>
        <w:t>A FEJLESZTÉS FŐBB ADATAI</w:t>
      </w:r>
    </w:p>
    <w:tbl>
      <w:tblPr>
        <w:tblpPr w:leftFromText="141" w:rightFromText="141" w:vertAnchor="page" w:horzAnchor="margin" w:tblpY="2539"/>
        <w:tblW w:w="8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2871"/>
        <w:gridCol w:w="1370"/>
      </w:tblGrid>
      <w:tr w:rsidR="008C157E" w:rsidRPr="00CD530C" w14:paraId="3BB8946F" w14:textId="77777777" w:rsidTr="085C057C">
        <w:trPr>
          <w:trHeight w:val="1256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55C2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 w:rsidRPr="0080301F">
              <w:rPr>
                <w:color w:val="000000"/>
              </w:rPr>
              <w:t>Projekt megnevezése /</w:t>
            </w:r>
            <w:proofErr w:type="spellStart"/>
            <w:r w:rsidRPr="0080301F">
              <w:rPr>
                <w:color w:val="000000"/>
              </w:rPr>
              <w:t>name</w:t>
            </w:r>
            <w:proofErr w:type="spellEnd"/>
            <w:r w:rsidRPr="0080301F">
              <w:rPr>
                <w:color w:val="000000"/>
              </w:rPr>
              <w:t xml:space="preserve"> of </w:t>
            </w:r>
            <w:proofErr w:type="spellStart"/>
            <w:r w:rsidRPr="0080301F">
              <w:rPr>
                <w:color w:val="000000"/>
              </w:rPr>
              <w:t>the</w:t>
            </w:r>
            <w:proofErr w:type="spellEnd"/>
            <w:r w:rsidRPr="0080301F">
              <w:rPr>
                <w:color w:val="000000"/>
              </w:rPr>
              <w:t xml:space="preserve"> project</w:t>
            </w:r>
          </w:p>
        </w:tc>
        <w:tc>
          <w:tcPr>
            <w:tcW w:w="42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D04C9A4" w14:textId="77777777" w:rsidR="008C157E" w:rsidRPr="00CD530C" w:rsidRDefault="008C157E" w:rsidP="008C157E">
            <w:pPr>
              <w:spacing w:after="0"/>
              <w:rPr>
                <w:color w:val="000000"/>
              </w:rPr>
            </w:pPr>
            <w:r w:rsidRPr="00CD530C">
              <w:rPr>
                <w:color w:val="000000"/>
              </w:rPr>
              <w:t xml:space="preserve">Országos Múzeumi Restaurálási és Raktározási Központ/ National Museum </w:t>
            </w:r>
            <w:proofErr w:type="spellStart"/>
            <w:r w:rsidRPr="00CD530C">
              <w:rPr>
                <w:color w:val="000000"/>
              </w:rPr>
              <w:t>Conservation</w:t>
            </w:r>
            <w:proofErr w:type="spellEnd"/>
            <w:r w:rsidRPr="00CD530C">
              <w:rPr>
                <w:color w:val="000000"/>
              </w:rPr>
              <w:t xml:space="preserve"> and Storage Centre</w:t>
            </w:r>
          </w:p>
        </w:tc>
      </w:tr>
      <w:tr w:rsidR="008C157E" w:rsidRPr="00CD530C" w14:paraId="675D06DA" w14:textId="77777777" w:rsidTr="085C057C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49E8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Pr="0080301F">
              <w:rPr>
                <w:color w:val="000000"/>
              </w:rPr>
              <w:t xml:space="preserve">elek területe / </w:t>
            </w:r>
            <w:proofErr w:type="spellStart"/>
            <w:r w:rsidRPr="0080301F">
              <w:rPr>
                <w:color w:val="000000"/>
              </w:rPr>
              <w:t>territory</w:t>
            </w:r>
            <w:proofErr w:type="spellEnd"/>
            <w:r w:rsidRPr="0080301F">
              <w:rPr>
                <w:color w:val="000000"/>
              </w:rPr>
              <w:t xml:space="preserve"> of </w:t>
            </w:r>
            <w:proofErr w:type="spellStart"/>
            <w:r w:rsidRPr="0080301F">
              <w:rPr>
                <w:color w:val="000000"/>
              </w:rPr>
              <w:t>the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plot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0C1D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 w:rsidRPr="00CD530C">
              <w:rPr>
                <w:color w:val="000000"/>
              </w:rPr>
              <w:t xml:space="preserve">38.899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8B5A3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m2</w:t>
            </w:r>
          </w:p>
        </w:tc>
      </w:tr>
      <w:tr w:rsidR="008C157E" w:rsidRPr="00CD530C" w14:paraId="603AEE18" w14:textId="77777777" w:rsidTr="085C057C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D4D3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Pr="0080301F">
              <w:rPr>
                <w:color w:val="000000"/>
              </w:rPr>
              <w:t>eépített terület /</w:t>
            </w:r>
            <w:proofErr w:type="spellStart"/>
            <w:r w:rsidRPr="0080301F">
              <w:rPr>
                <w:color w:val="000000"/>
              </w:rPr>
              <w:t>constructed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area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979E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 w:rsidRPr="00CD530C">
              <w:rPr>
                <w:color w:val="000000"/>
              </w:rPr>
              <w:t xml:space="preserve">37.000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E50B5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m2</w:t>
            </w:r>
          </w:p>
        </w:tc>
      </w:tr>
      <w:tr w:rsidR="008C157E" w:rsidRPr="00CD530C" w14:paraId="2FCE8B5F" w14:textId="77777777" w:rsidTr="085C057C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ED5A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Zö</w:t>
            </w:r>
            <w:r w:rsidRPr="0080301F">
              <w:rPr>
                <w:color w:val="000000"/>
              </w:rPr>
              <w:t xml:space="preserve">ld terület / </w:t>
            </w:r>
            <w:proofErr w:type="spellStart"/>
            <w:r w:rsidRPr="0080301F">
              <w:rPr>
                <w:color w:val="000000"/>
              </w:rPr>
              <w:t>green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area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7F59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 w:rsidRPr="00CD530C">
              <w:rPr>
                <w:color w:val="000000"/>
              </w:rPr>
              <w:t xml:space="preserve">13 000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43128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m2</w:t>
            </w:r>
          </w:p>
        </w:tc>
      </w:tr>
      <w:tr w:rsidR="008C157E" w:rsidRPr="00CD530C" w14:paraId="13EE9D38" w14:textId="77777777" w:rsidTr="085C057C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1C58C10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Pr="0080301F">
              <w:rPr>
                <w:color w:val="000000"/>
              </w:rPr>
              <w:t xml:space="preserve">ruttó szintterületi mutatóba </w:t>
            </w:r>
            <w:r>
              <w:rPr>
                <w:color w:val="000000"/>
              </w:rPr>
              <w:t>B</w:t>
            </w:r>
            <w:r w:rsidRPr="0080301F">
              <w:rPr>
                <w:color w:val="000000"/>
              </w:rPr>
              <w:t xml:space="preserve">eszámítandó alapterület /Total </w:t>
            </w:r>
            <w:proofErr w:type="spellStart"/>
            <w:r w:rsidRPr="0080301F">
              <w:rPr>
                <w:color w:val="000000"/>
              </w:rPr>
              <w:t>surface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9AFF68" w14:textId="4AF5DBDE" w:rsidR="008C157E" w:rsidRPr="0080301F" w:rsidRDefault="00695A85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37.000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44F818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m2</w:t>
            </w:r>
          </w:p>
        </w:tc>
      </w:tr>
      <w:tr w:rsidR="008C157E" w:rsidRPr="00CD530C" w14:paraId="53A47153" w14:textId="77777777" w:rsidTr="085C057C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412216B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É</w:t>
            </w:r>
            <w:r w:rsidRPr="0080301F">
              <w:rPr>
                <w:color w:val="000000"/>
              </w:rPr>
              <w:t xml:space="preserve">rtékesíthető, bérelhető nettó terület / part </w:t>
            </w:r>
            <w:proofErr w:type="spellStart"/>
            <w:r w:rsidRPr="0080301F">
              <w:rPr>
                <w:color w:val="000000"/>
              </w:rPr>
              <w:t>for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rent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or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sale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98E8EE" w14:textId="54228284" w:rsidR="008C157E" w:rsidRPr="0080301F" w:rsidRDefault="00695A85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33.000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32CAAE2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m2</w:t>
            </w:r>
          </w:p>
        </w:tc>
      </w:tr>
      <w:tr w:rsidR="008C157E" w:rsidRPr="00CD530C" w14:paraId="6B0B1404" w14:textId="77777777" w:rsidTr="085C057C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9C5318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É</w:t>
            </w:r>
            <w:r w:rsidRPr="0080301F">
              <w:rPr>
                <w:color w:val="000000"/>
              </w:rPr>
              <w:t>pítési költség, melyből /Tot</w:t>
            </w:r>
            <w:r w:rsidR="006B7BEB">
              <w:rPr>
                <w:color w:val="000000"/>
              </w:rPr>
              <w:t>al</w:t>
            </w:r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construction</w:t>
            </w:r>
            <w:proofErr w:type="spellEnd"/>
            <w:r w:rsidRPr="0080301F">
              <w:rPr>
                <w:color w:val="000000"/>
              </w:rPr>
              <w:t xml:space="preserve"> cost 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2CA6AC" w14:textId="28BC16DE" w:rsidR="008C157E" w:rsidRPr="0080301F" w:rsidRDefault="00AE5005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22.500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4A02DDFD" w14:textId="02F0955B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mil</w:t>
            </w:r>
            <w:r w:rsidR="00AE5005">
              <w:rPr>
                <w:color w:val="000000"/>
              </w:rPr>
              <w:t>lió</w:t>
            </w:r>
            <w:r w:rsidRPr="0080301F">
              <w:rPr>
                <w:color w:val="000000"/>
              </w:rPr>
              <w:t xml:space="preserve"> HUF</w:t>
            </w:r>
          </w:p>
        </w:tc>
      </w:tr>
      <w:tr w:rsidR="008C157E" w:rsidRPr="00CD530C" w14:paraId="5FB2FC21" w14:textId="77777777" w:rsidTr="085C057C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30BC6E1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Pr="0080301F">
              <w:rPr>
                <w:color w:val="000000"/>
              </w:rPr>
              <w:t xml:space="preserve">aját erő/ </w:t>
            </w:r>
            <w:proofErr w:type="spellStart"/>
            <w:r w:rsidRPr="0080301F">
              <w:rPr>
                <w:color w:val="000000"/>
              </w:rPr>
              <w:t>own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resource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D96F19" w14:textId="013D2EF0" w:rsidR="008C157E" w:rsidRPr="0080301F" w:rsidRDefault="00AE5005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állami költségvetés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187BEE3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%</w:t>
            </w:r>
          </w:p>
        </w:tc>
      </w:tr>
      <w:tr w:rsidR="008C157E" w:rsidRPr="00CD530C" w14:paraId="77CA7B96" w14:textId="77777777" w:rsidTr="085C057C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07F6CE1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Pr="0080301F">
              <w:rPr>
                <w:color w:val="000000"/>
              </w:rPr>
              <w:t>itel /</w:t>
            </w:r>
            <w:proofErr w:type="spellStart"/>
            <w:r w:rsidRPr="0080301F">
              <w:rPr>
                <w:color w:val="000000"/>
              </w:rPr>
              <w:t>loan</w:t>
            </w:r>
            <w:proofErr w:type="spellEnd"/>
            <w:r w:rsidRPr="0080301F">
              <w:rPr>
                <w:color w:val="000000"/>
              </w:rPr>
              <w:t xml:space="preserve"> 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80ED58" w14:textId="28D0454C" w:rsidR="008C157E" w:rsidRPr="0080301F" w:rsidRDefault="00B66DA4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41E41AD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%</w:t>
            </w:r>
          </w:p>
        </w:tc>
      </w:tr>
      <w:tr w:rsidR="008C157E" w:rsidRPr="00CD530C" w14:paraId="595E49FC" w14:textId="77777777" w:rsidTr="085C057C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F41F5B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É</w:t>
            </w:r>
            <w:r w:rsidRPr="0080301F">
              <w:rPr>
                <w:color w:val="000000"/>
              </w:rPr>
              <w:t>rtékesítésből /</w:t>
            </w:r>
            <w:proofErr w:type="spellStart"/>
            <w:r w:rsidRPr="0080301F">
              <w:rPr>
                <w:color w:val="000000"/>
              </w:rPr>
              <w:t>from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sales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963B543" w14:textId="58FF45B8" w:rsidR="008C157E" w:rsidRPr="0080301F" w:rsidRDefault="00B66DA4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12D7E97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</w:p>
        </w:tc>
      </w:tr>
      <w:tr w:rsidR="008C157E" w:rsidRPr="00CD530C" w14:paraId="57770FC6" w14:textId="77777777" w:rsidTr="085C057C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492E4D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Pr="0080301F">
              <w:rPr>
                <w:color w:val="000000"/>
              </w:rPr>
              <w:t>ladás, bérbeadás állása /</w:t>
            </w:r>
            <w:proofErr w:type="spellStart"/>
            <w:r w:rsidRPr="0080301F">
              <w:rPr>
                <w:color w:val="000000"/>
              </w:rPr>
              <w:t>sold</w:t>
            </w:r>
            <w:proofErr w:type="spellEnd"/>
            <w:r w:rsidRPr="0080301F">
              <w:rPr>
                <w:color w:val="000000"/>
              </w:rPr>
              <w:t xml:space="preserve"> or </w:t>
            </w:r>
            <w:proofErr w:type="spellStart"/>
            <w:r w:rsidRPr="0080301F">
              <w:rPr>
                <w:color w:val="000000"/>
              </w:rPr>
              <w:t>rented</w:t>
            </w:r>
            <w:proofErr w:type="spellEnd"/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820D13" w14:textId="3DD20262" w:rsidR="008C157E" w:rsidRPr="0080301F" w:rsidRDefault="00AE5005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intézmények beköltöztek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FFFFF" w:themeFill="background1"/>
            <w:vAlign w:val="bottom"/>
          </w:tcPr>
          <w:p w14:paraId="7B3C6837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%</w:t>
            </w:r>
          </w:p>
        </w:tc>
      </w:tr>
      <w:tr w:rsidR="008C157E" w:rsidRPr="00CD530C" w14:paraId="05154382" w14:textId="77777777" w:rsidTr="085C057C">
        <w:trPr>
          <w:trHeight w:val="300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A4FA45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80301F">
              <w:rPr>
                <w:color w:val="000000"/>
              </w:rPr>
              <w:t xml:space="preserve">ivitelezés befejezésekor/ </w:t>
            </w:r>
            <w:proofErr w:type="spellStart"/>
            <w:r w:rsidRPr="0080301F">
              <w:rPr>
                <w:color w:val="000000"/>
              </w:rPr>
              <w:t>at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the</w:t>
            </w:r>
            <w:proofErr w:type="spellEnd"/>
            <w:r w:rsidRPr="0080301F">
              <w:rPr>
                <w:color w:val="000000"/>
              </w:rPr>
              <w:t xml:space="preserve"> end of </w:t>
            </w:r>
            <w:proofErr w:type="spellStart"/>
            <w:r w:rsidRPr="0080301F">
              <w:rPr>
                <w:color w:val="000000"/>
              </w:rPr>
              <w:t>construction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21ECA8" w14:textId="1F7E6475" w:rsidR="008C157E" w:rsidRPr="0080301F" w:rsidRDefault="00AE5005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intézmények beköltöztek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980965C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%</w:t>
            </w:r>
          </w:p>
        </w:tc>
      </w:tr>
      <w:tr w:rsidR="008C157E" w:rsidRPr="00CD530C" w14:paraId="2DF6E308" w14:textId="77777777" w:rsidTr="085C057C">
        <w:trPr>
          <w:trHeight w:val="315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BCB7DEA" w14:textId="77777777" w:rsidR="008C157E" w:rsidRPr="0080301F" w:rsidRDefault="008C157E" w:rsidP="008C157E">
            <w:pPr>
              <w:spacing w:after="0"/>
              <w:rPr>
                <w:color w:val="000000"/>
              </w:rPr>
            </w:pPr>
            <w:r w:rsidRPr="0080301F">
              <w:rPr>
                <w:color w:val="000000"/>
              </w:rPr>
              <w:t xml:space="preserve">1 évvel később/1 </w:t>
            </w:r>
            <w:proofErr w:type="spellStart"/>
            <w:r w:rsidRPr="0080301F">
              <w:rPr>
                <w:color w:val="000000"/>
              </w:rPr>
              <w:t>year</w:t>
            </w:r>
            <w:proofErr w:type="spellEnd"/>
            <w:r w:rsidRPr="0080301F">
              <w:rPr>
                <w:color w:val="000000"/>
              </w:rPr>
              <w:t xml:space="preserve"> </w:t>
            </w:r>
            <w:proofErr w:type="spellStart"/>
            <w:r w:rsidRPr="0080301F">
              <w:rPr>
                <w:color w:val="000000"/>
              </w:rPr>
              <w:t>later</w:t>
            </w:r>
            <w:proofErr w:type="spellEnd"/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8AA2983" w14:textId="17E68306" w:rsidR="008C157E" w:rsidRPr="0080301F" w:rsidRDefault="00AE5005" w:rsidP="008C15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intézmények beköltöztek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076692" w14:textId="77777777" w:rsidR="008C157E" w:rsidRPr="0080301F" w:rsidRDefault="008C157E" w:rsidP="008C157E">
            <w:pPr>
              <w:spacing w:after="0"/>
              <w:jc w:val="center"/>
              <w:rPr>
                <w:color w:val="000000"/>
              </w:rPr>
            </w:pPr>
            <w:r w:rsidRPr="0080301F">
              <w:rPr>
                <w:color w:val="000000"/>
              </w:rPr>
              <w:t>%</w:t>
            </w:r>
          </w:p>
        </w:tc>
      </w:tr>
    </w:tbl>
    <w:p w14:paraId="78C36BB6" w14:textId="448B65DC" w:rsidR="085C057C" w:rsidRDefault="085C057C"/>
    <w:p w14:paraId="73706446" w14:textId="77777777" w:rsidR="00CD530C" w:rsidRPr="00CD530C" w:rsidRDefault="00CD530C">
      <w:pPr>
        <w:spacing w:after="160" w:line="259" w:lineRule="auto"/>
        <w:rPr>
          <w:color w:val="000000"/>
        </w:rPr>
      </w:pPr>
    </w:p>
    <w:p w14:paraId="39C3BE60" w14:textId="77777777" w:rsidR="008C157E" w:rsidRDefault="008C157E" w:rsidP="005363F5">
      <w:pPr>
        <w:pStyle w:val="Cm"/>
        <w:rPr>
          <w:sz w:val="28"/>
          <w:szCs w:val="32"/>
          <w:highlight w:val="lightGray"/>
        </w:rPr>
      </w:pPr>
      <w:r>
        <w:rPr>
          <w:highlight w:val="lightGray"/>
        </w:rPr>
        <w:br w:type="page"/>
      </w:r>
    </w:p>
    <w:p w14:paraId="256B46E9" w14:textId="77777777" w:rsidR="0080301F" w:rsidRPr="000D223D" w:rsidRDefault="0080301F" w:rsidP="008C157E">
      <w:pPr>
        <w:pStyle w:val="Cmsor1"/>
        <w:numPr>
          <w:ilvl w:val="0"/>
          <w:numId w:val="0"/>
        </w:numPr>
      </w:pPr>
      <w:r w:rsidRPr="000D223D">
        <w:lastRenderedPageBreak/>
        <w:t xml:space="preserve">Alapadatok </w:t>
      </w:r>
    </w:p>
    <w:p w14:paraId="1F8C30EA" w14:textId="77777777" w:rsidR="002A2388" w:rsidRDefault="0080301F" w:rsidP="00605EBA">
      <w:pPr>
        <w:rPr>
          <w:szCs w:val="22"/>
        </w:rPr>
      </w:pPr>
      <w:r w:rsidRPr="002A2388">
        <w:rPr>
          <w:b/>
          <w:bCs/>
          <w:szCs w:val="22"/>
        </w:rPr>
        <w:t>A létesítmény elnevezése és pontos címe:</w:t>
      </w:r>
      <w:r w:rsidRPr="002A2388">
        <w:rPr>
          <w:szCs w:val="22"/>
        </w:rPr>
        <w:t xml:space="preserve"> Országos Múzeumi Restaurálási és Raktározási Központ, Budapest, Szabolcs u. 33-35, 1135</w:t>
      </w:r>
    </w:p>
    <w:p w14:paraId="603D336F" w14:textId="77777777" w:rsidR="002A2388" w:rsidRDefault="0080301F" w:rsidP="002A2388">
      <w:pPr>
        <w:spacing w:after="0"/>
        <w:rPr>
          <w:b/>
          <w:bCs/>
          <w:szCs w:val="22"/>
        </w:rPr>
      </w:pPr>
      <w:r w:rsidRPr="002A2388">
        <w:rPr>
          <w:b/>
          <w:bCs/>
          <w:szCs w:val="22"/>
        </w:rPr>
        <w:t>A nevező adatai</w:t>
      </w:r>
      <w:r w:rsidR="00E27ABB" w:rsidRPr="002A2388">
        <w:rPr>
          <w:b/>
          <w:bCs/>
          <w:szCs w:val="22"/>
        </w:rPr>
        <w:t xml:space="preserve"> (</w:t>
      </w:r>
      <w:r w:rsidR="00605EBA" w:rsidRPr="002A2388">
        <w:rPr>
          <w:b/>
          <w:bCs/>
          <w:szCs w:val="22"/>
        </w:rPr>
        <w:t xml:space="preserve">név, cím, felelős személy, telefon, </w:t>
      </w:r>
      <w:r w:rsidR="0073668B" w:rsidRPr="002A2388">
        <w:rPr>
          <w:b/>
          <w:bCs/>
          <w:szCs w:val="22"/>
        </w:rPr>
        <w:t>e-mail)</w:t>
      </w:r>
    </w:p>
    <w:p w14:paraId="26EB0C88" w14:textId="77777777" w:rsidR="00E27ABB" w:rsidRPr="002A2388" w:rsidRDefault="00E27ABB" w:rsidP="002A2388">
      <w:pPr>
        <w:spacing w:after="0"/>
        <w:rPr>
          <w:szCs w:val="22"/>
        </w:rPr>
      </w:pPr>
      <w:r w:rsidRPr="002A2388">
        <w:rPr>
          <w:szCs w:val="22"/>
        </w:rPr>
        <w:t xml:space="preserve">Városliget Zrt. </w:t>
      </w:r>
    </w:p>
    <w:p w14:paraId="224C83C4" w14:textId="77777777" w:rsidR="00E27ABB" w:rsidRPr="002A2388" w:rsidRDefault="00E27ABB" w:rsidP="002A2388">
      <w:pPr>
        <w:spacing w:after="0"/>
        <w:rPr>
          <w:szCs w:val="22"/>
        </w:rPr>
      </w:pPr>
      <w:r w:rsidRPr="002A2388">
        <w:rPr>
          <w:szCs w:val="22"/>
        </w:rPr>
        <w:t xml:space="preserve">1146 Budapest, Dózsa György út 41., Tel.: +36 1 374 3130, office@ligetbudapest.hu </w:t>
      </w:r>
    </w:p>
    <w:p w14:paraId="6C67BF2E" w14:textId="77777777" w:rsidR="00E27ABB" w:rsidRPr="002A2388" w:rsidRDefault="00E27ABB" w:rsidP="0028334A">
      <w:pPr>
        <w:spacing w:after="400"/>
      </w:pPr>
      <w:r w:rsidRPr="002A2388">
        <w:t xml:space="preserve">Dr. </w:t>
      </w:r>
      <w:proofErr w:type="spellStart"/>
      <w:r w:rsidRPr="002A2388">
        <w:t>Gyorgyevics</w:t>
      </w:r>
      <w:proofErr w:type="spellEnd"/>
      <w:r w:rsidRPr="002A2388">
        <w:t xml:space="preserve"> Benedek vezérigazgató</w:t>
      </w:r>
    </w:p>
    <w:p w14:paraId="631E44C4" w14:textId="77777777" w:rsidR="0080301F" w:rsidRDefault="0080301F" w:rsidP="002A2388">
      <w:pPr>
        <w:spacing w:after="0"/>
        <w:rPr>
          <w:b/>
          <w:bCs/>
        </w:rPr>
      </w:pPr>
      <w:r w:rsidRPr="002A2388">
        <w:rPr>
          <w:b/>
          <w:bCs/>
        </w:rPr>
        <w:t>Beruházók adatai (cégnév, cím, felelős személy, telefonszám, e-mail)</w:t>
      </w:r>
    </w:p>
    <w:p w14:paraId="1B40F330" w14:textId="77777777" w:rsidR="002A2388" w:rsidRPr="002A2388" w:rsidRDefault="002A2388" w:rsidP="002A2388">
      <w:pPr>
        <w:spacing w:after="0"/>
        <w:rPr>
          <w:szCs w:val="22"/>
        </w:rPr>
      </w:pPr>
      <w:r w:rsidRPr="002A2388">
        <w:rPr>
          <w:szCs w:val="22"/>
        </w:rPr>
        <w:t xml:space="preserve">Városliget Zrt. </w:t>
      </w:r>
    </w:p>
    <w:p w14:paraId="25BE4611" w14:textId="77777777" w:rsidR="002A2388" w:rsidRPr="002A2388" w:rsidRDefault="002A2388" w:rsidP="002A2388">
      <w:pPr>
        <w:spacing w:after="0"/>
        <w:rPr>
          <w:szCs w:val="22"/>
        </w:rPr>
      </w:pPr>
      <w:r w:rsidRPr="002A2388">
        <w:rPr>
          <w:szCs w:val="22"/>
        </w:rPr>
        <w:t xml:space="preserve">1146 Budapest, Dózsa György út 41., Tel.: +36 1 374 3130, office@ligetbudapest.hu </w:t>
      </w:r>
    </w:p>
    <w:p w14:paraId="0F92B48C" w14:textId="77777777" w:rsidR="002A2388" w:rsidRPr="002A2388" w:rsidRDefault="002A2388" w:rsidP="002A2388">
      <w:r w:rsidRPr="002A2388">
        <w:t xml:space="preserve">Dr. </w:t>
      </w:r>
      <w:proofErr w:type="spellStart"/>
      <w:r w:rsidRPr="002A2388">
        <w:t>Gyorgyevics</w:t>
      </w:r>
      <w:proofErr w:type="spellEnd"/>
      <w:r w:rsidRPr="002A2388">
        <w:t xml:space="preserve"> Benedek vezérigazgató</w:t>
      </w:r>
    </w:p>
    <w:p w14:paraId="0A252572" w14:textId="77777777" w:rsidR="0080301F" w:rsidRDefault="0080301F" w:rsidP="0028334A">
      <w:pPr>
        <w:spacing w:after="0"/>
        <w:rPr>
          <w:b/>
          <w:bCs/>
          <w:szCs w:val="22"/>
        </w:rPr>
      </w:pPr>
      <w:r w:rsidRPr="002A2388">
        <w:rPr>
          <w:b/>
          <w:bCs/>
          <w:szCs w:val="22"/>
        </w:rPr>
        <w:t>Tervező, adatai (</w:t>
      </w:r>
      <w:proofErr w:type="gramStart"/>
      <w:r w:rsidRPr="002A2388">
        <w:rPr>
          <w:b/>
          <w:bCs/>
          <w:szCs w:val="22"/>
        </w:rPr>
        <w:t>Cégnév ,</w:t>
      </w:r>
      <w:proofErr w:type="gramEnd"/>
      <w:r w:rsidRPr="002A2388">
        <w:rPr>
          <w:b/>
          <w:bCs/>
          <w:szCs w:val="22"/>
        </w:rPr>
        <w:t xml:space="preserve"> cím, felelős személy,  telefon, e-mail )</w:t>
      </w:r>
    </w:p>
    <w:p w14:paraId="4E1A3DEF" w14:textId="77777777" w:rsidR="00743A5E" w:rsidRPr="00743A5E" w:rsidRDefault="00743A5E" w:rsidP="0028334A">
      <w:pPr>
        <w:spacing w:after="0"/>
        <w:rPr>
          <w:szCs w:val="22"/>
        </w:rPr>
      </w:pPr>
      <w:proofErr w:type="spellStart"/>
      <w:r w:rsidRPr="00743A5E">
        <w:rPr>
          <w:szCs w:val="22"/>
        </w:rPr>
        <w:t>Narmer</w:t>
      </w:r>
      <w:proofErr w:type="spellEnd"/>
      <w:r w:rsidRPr="00743A5E">
        <w:rPr>
          <w:szCs w:val="22"/>
        </w:rPr>
        <w:t xml:space="preserve"> Építészeti Stúdió Budapest</w:t>
      </w:r>
    </w:p>
    <w:p w14:paraId="5FC6EA84" w14:textId="77777777" w:rsidR="00743A5E" w:rsidRDefault="00743A5E" w:rsidP="0028334A">
      <w:pPr>
        <w:spacing w:after="0"/>
        <w:rPr>
          <w:szCs w:val="22"/>
        </w:rPr>
      </w:pPr>
      <w:r w:rsidRPr="00743A5E">
        <w:rPr>
          <w:szCs w:val="22"/>
        </w:rPr>
        <w:t>1048 Budapest, Homoktövis u. 123.</w:t>
      </w:r>
      <w:r w:rsidR="00400EFD">
        <w:rPr>
          <w:szCs w:val="22"/>
        </w:rPr>
        <w:t xml:space="preserve"> Tel: </w:t>
      </w:r>
      <w:r w:rsidR="00400EFD" w:rsidRPr="00400EFD">
        <w:rPr>
          <w:szCs w:val="22"/>
        </w:rPr>
        <w:t>+36 1 365 1444</w:t>
      </w:r>
      <w:r w:rsidR="00400EFD">
        <w:rPr>
          <w:szCs w:val="22"/>
        </w:rPr>
        <w:t xml:space="preserve">, </w:t>
      </w:r>
      <w:hyperlink r:id="rId11" w:history="1">
        <w:r w:rsidR="00400EFD" w:rsidRPr="00DE5152">
          <w:rPr>
            <w:rStyle w:val="Hiperhivatkozs"/>
            <w:szCs w:val="22"/>
          </w:rPr>
          <w:t>iroda@narmer.hu</w:t>
        </w:r>
      </w:hyperlink>
    </w:p>
    <w:p w14:paraId="6D1FAAFC" w14:textId="77777777" w:rsidR="00400EFD" w:rsidRDefault="00400EFD" w:rsidP="0028334A">
      <w:pPr>
        <w:spacing w:after="0"/>
        <w:rPr>
          <w:szCs w:val="22"/>
        </w:rPr>
      </w:pPr>
      <w:r w:rsidRPr="00400EFD">
        <w:rPr>
          <w:szCs w:val="22"/>
        </w:rPr>
        <w:t>Vasáros Zsolt</w:t>
      </w:r>
    </w:p>
    <w:p w14:paraId="72EF6800" w14:textId="77777777" w:rsidR="00400EFD" w:rsidRDefault="00400EFD" w:rsidP="00743A5E">
      <w:pPr>
        <w:spacing w:after="0"/>
        <w:rPr>
          <w:szCs w:val="22"/>
        </w:rPr>
      </w:pPr>
    </w:p>
    <w:p w14:paraId="6575BBEA" w14:textId="77777777" w:rsidR="00400EFD" w:rsidRPr="00400EFD" w:rsidRDefault="00400EFD" w:rsidP="0028334A">
      <w:pPr>
        <w:spacing w:after="0"/>
        <w:rPr>
          <w:b/>
          <w:bCs/>
          <w:szCs w:val="22"/>
        </w:rPr>
      </w:pPr>
      <w:r w:rsidRPr="00400EFD">
        <w:rPr>
          <w:b/>
          <w:bCs/>
          <w:szCs w:val="22"/>
        </w:rPr>
        <w:t>Tervezők</w:t>
      </w:r>
    </w:p>
    <w:p w14:paraId="70B6D9D8" w14:textId="77777777" w:rsidR="00400EFD" w:rsidRDefault="00400EFD" w:rsidP="0028334A">
      <w:pPr>
        <w:spacing w:after="0"/>
        <w:jc w:val="both"/>
        <w:rPr>
          <w:szCs w:val="22"/>
        </w:rPr>
      </w:pPr>
      <w:r w:rsidRPr="00400EFD">
        <w:rPr>
          <w:szCs w:val="22"/>
        </w:rPr>
        <w:t xml:space="preserve">Vasáros Zsolt, Megyesi Zsolt, </w:t>
      </w:r>
      <w:proofErr w:type="spellStart"/>
      <w:r w:rsidRPr="00400EFD">
        <w:rPr>
          <w:szCs w:val="22"/>
        </w:rPr>
        <w:t>Bandur</w:t>
      </w:r>
      <w:proofErr w:type="spellEnd"/>
      <w:r w:rsidRPr="00400EFD">
        <w:rPr>
          <w:szCs w:val="22"/>
        </w:rPr>
        <w:t xml:space="preserve">-Juhász Emőke, Nagy Gábor, Sasvári Áron, Somlai Anikó, </w:t>
      </w:r>
      <w:proofErr w:type="spellStart"/>
      <w:r w:rsidRPr="00400EFD">
        <w:rPr>
          <w:szCs w:val="22"/>
        </w:rPr>
        <w:t>Brotesser</w:t>
      </w:r>
      <w:proofErr w:type="spellEnd"/>
      <w:r w:rsidRPr="00400EFD">
        <w:rPr>
          <w:szCs w:val="22"/>
        </w:rPr>
        <w:t xml:space="preserve"> Zsuzsanna, </w:t>
      </w:r>
      <w:proofErr w:type="spellStart"/>
      <w:r w:rsidRPr="00400EFD">
        <w:rPr>
          <w:szCs w:val="22"/>
        </w:rPr>
        <w:t>Eiszrich</w:t>
      </w:r>
      <w:proofErr w:type="spellEnd"/>
      <w:r w:rsidRPr="00400EFD">
        <w:rPr>
          <w:szCs w:val="22"/>
        </w:rPr>
        <w:t xml:space="preserve"> Ágnes, Gáll András, Kováts Petra, Kőnig Anna, </w:t>
      </w:r>
      <w:proofErr w:type="spellStart"/>
      <w:r w:rsidRPr="00400EFD">
        <w:rPr>
          <w:szCs w:val="22"/>
        </w:rPr>
        <w:t>Krauth</w:t>
      </w:r>
      <w:proofErr w:type="spellEnd"/>
      <w:r w:rsidRPr="00400EFD">
        <w:rPr>
          <w:szCs w:val="22"/>
        </w:rPr>
        <w:t xml:space="preserve"> Veronika, Mayer Tamás, Molnár Bianka, </w:t>
      </w:r>
      <w:proofErr w:type="spellStart"/>
      <w:r w:rsidRPr="00400EFD">
        <w:rPr>
          <w:szCs w:val="22"/>
        </w:rPr>
        <w:t>Nusszer</w:t>
      </w:r>
      <w:proofErr w:type="spellEnd"/>
      <w:r w:rsidRPr="00400EFD">
        <w:rPr>
          <w:szCs w:val="22"/>
        </w:rPr>
        <w:t xml:space="preserve"> Diána, Sági Gergely, Szabó Anna, Szabó Réka, </w:t>
      </w:r>
      <w:proofErr w:type="spellStart"/>
      <w:r w:rsidRPr="00400EFD">
        <w:rPr>
          <w:szCs w:val="22"/>
        </w:rPr>
        <w:t>Tari</w:t>
      </w:r>
      <w:proofErr w:type="spellEnd"/>
      <w:r w:rsidRPr="00400EFD">
        <w:rPr>
          <w:szCs w:val="22"/>
        </w:rPr>
        <w:t xml:space="preserve"> Bálint, Vasáros Ákos, Vasáros-Lévai Melinda, </w:t>
      </w:r>
      <w:proofErr w:type="spellStart"/>
      <w:r w:rsidRPr="00400EFD">
        <w:rPr>
          <w:szCs w:val="22"/>
        </w:rPr>
        <w:t>Véner</w:t>
      </w:r>
      <w:proofErr w:type="spellEnd"/>
      <w:r w:rsidRPr="00400EFD">
        <w:rPr>
          <w:szCs w:val="22"/>
        </w:rPr>
        <w:t xml:space="preserve"> Ágnes, </w:t>
      </w:r>
      <w:proofErr w:type="spellStart"/>
      <w:r w:rsidRPr="00400EFD">
        <w:rPr>
          <w:szCs w:val="22"/>
        </w:rPr>
        <w:t>Zsarnóczky</w:t>
      </w:r>
      <w:proofErr w:type="spellEnd"/>
      <w:r w:rsidRPr="00400EFD">
        <w:rPr>
          <w:szCs w:val="22"/>
        </w:rPr>
        <w:t xml:space="preserve"> Renáta</w:t>
      </w:r>
    </w:p>
    <w:p w14:paraId="31D02B81" w14:textId="77777777" w:rsidR="0028334A" w:rsidRPr="00400EFD" w:rsidRDefault="0028334A" w:rsidP="0028334A">
      <w:pPr>
        <w:spacing w:after="0"/>
        <w:jc w:val="both"/>
        <w:rPr>
          <w:szCs w:val="22"/>
        </w:rPr>
      </w:pPr>
    </w:p>
    <w:p w14:paraId="1A21CD68" w14:textId="77777777" w:rsidR="0080301F" w:rsidRDefault="0080301F" w:rsidP="0028334A">
      <w:pPr>
        <w:spacing w:after="0"/>
        <w:rPr>
          <w:b/>
          <w:bCs/>
          <w:szCs w:val="22"/>
        </w:rPr>
      </w:pPr>
      <w:r w:rsidRPr="002A2388">
        <w:rPr>
          <w:b/>
          <w:bCs/>
          <w:szCs w:val="22"/>
        </w:rPr>
        <w:t>Kivitelező adatai (</w:t>
      </w:r>
      <w:proofErr w:type="gramStart"/>
      <w:r w:rsidRPr="002A2388">
        <w:rPr>
          <w:b/>
          <w:bCs/>
          <w:szCs w:val="22"/>
        </w:rPr>
        <w:t>Cégnév  ,</w:t>
      </w:r>
      <w:proofErr w:type="gramEnd"/>
      <w:r w:rsidRPr="002A2388">
        <w:rPr>
          <w:b/>
          <w:bCs/>
          <w:szCs w:val="22"/>
        </w:rPr>
        <w:t xml:space="preserve"> cím, felelős személy,  telefon, e-mail )</w:t>
      </w:r>
    </w:p>
    <w:p w14:paraId="1DD1C495" w14:textId="77777777" w:rsidR="00400EFD" w:rsidRDefault="00400EFD" w:rsidP="0028334A">
      <w:pPr>
        <w:spacing w:after="0"/>
        <w:rPr>
          <w:szCs w:val="22"/>
        </w:rPr>
      </w:pPr>
      <w:r w:rsidRPr="00400EFD">
        <w:rPr>
          <w:szCs w:val="22"/>
        </w:rPr>
        <w:t>STRABAG Magyarország</w:t>
      </w:r>
    </w:p>
    <w:p w14:paraId="136F4BA4" w14:textId="77777777" w:rsidR="00400EFD" w:rsidRDefault="0028334A" w:rsidP="0028334A">
      <w:pPr>
        <w:spacing w:after="0"/>
        <w:rPr>
          <w:szCs w:val="22"/>
        </w:rPr>
      </w:pPr>
      <w:r>
        <w:rPr>
          <w:szCs w:val="22"/>
        </w:rPr>
        <w:t xml:space="preserve">1117, Budapest, </w:t>
      </w:r>
      <w:r w:rsidR="00400EFD" w:rsidRPr="00400EFD">
        <w:rPr>
          <w:szCs w:val="22"/>
        </w:rPr>
        <w:t>Gábor Dénes utca 2. INFOPARK D épület</w:t>
      </w:r>
      <w:r>
        <w:rPr>
          <w:szCs w:val="22"/>
        </w:rPr>
        <w:t xml:space="preserve">, </w:t>
      </w:r>
      <w:r w:rsidRPr="0028334A">
        <w:rPr>
          <w:szCs w:val="22"/>
        </w:rPr>
        <w:t>Tel. +36 (0)1 358 5267</w:t>
      </w:r>
    </w:p>
    <w:p w14:paraId="2FB59F4E" w14:textId="77777777" w:rsidR="0028334A" w:rsidRDefault="0028334A" w:rsidP="0028334A">
      <w:pPr>
        <w:spacing w:after="0"/>
        <w:rPr>
          <w:szCs w:val="22"/>
        </w:rPr>
      </w:pPr>
    </w:p>
    <w:p w14:paraId="65AD4D2C" w14:textId="77777777" w:rsidR="0080301F" w:rsidRPr="002A2388" w:rsidRDefault="0080301F" w:rsidP="0028334A">
      <w:pPr>
        <w:spacing w:after="0"/>
        <w:rPr>
          <w:b/>
          <w:bCs/>
          <w:szCs w:val="22"/>
        </w:rPr>
      </w:pPr>
      <w:r w:rsidRPr="002A2388">
        <w:rPr>
          <w:b/>
          <w:bCs/>
          <w:szCs w:val="22"/>
        </w:rPr>
        <w:t>Üzemeltetők adatai: (</w:t>
      </w:r>
      <w:proofErr w:type="gramStart"/>
      <w:r w:rsidRPr="002A2388">
        <w:rPr>
          <w:b/>
          <w:bCs/>
          <w:szCs w:val="22"/>
        </w:rPr>
        <w:t>Cégnév  ,</w:t>
      </w:r>
      <w:proofErr w:type="gramEnd"/>
      <w:r w:rsidRPr="002A2388">
        <w:rPr>
          <w:b/>
          <w:bCs/>
          <w:szCs w:val="22"/>
        </w:rPr>
        <w:t xml:space="preserve"> cím, felelős személy,  telefon, e-mail )   </w:t>
      </w:r>
    </w:p>
    <w:p w14:paraId="44768905" w14:textId="77777777" w:rsidR="00400EFD" w:rsidRPr="002A2388" w:rsidRDefault="00400EFD" w:rsidP="0028334A">
      <w:pPr>
        <w:spacing w:after="0"/>
        <w:rPr>
          <w:szCs w:val="22"/>
        </w:rPr>
      </w:pPr>
      <w:r w:rsidRPr="002A2388">
        <w:rPr>
          <w:szCs w:val="22"/>
        </w:rPr>
        <w:t xml:space="preserve">Városliget Zrt. </w:t>
      </w:r>
    </w:p>
    <w:p w14:paraId="12735E35" w14:textId="77777777" w:rsidR="00400EFD" w:rsidRPr="002A2388" w:rsidRDefault="00400EFD" w:rsidP="0028334A">
      <w:pPr>
        <w:spacing w:after="0"/>
        <w:rPr>
          <w:szCs w:val="22"/>
        </w:rPr>
      </w:pPr>
      <w:r w:rsidRPr="002A2388">
        <w:rPr>
          <w:szCs w:val="22"/>
        </w:rPr>
        <w:t xml:space="preserve">1146 Budapest, Dózsa György út 41., Tel.: +36 1 374 3130, office@ligetbudapest.hu </w:t>
      </w:r>
    </w:p>
    <w:p w14:paraId="6EF1E57A" w14:textId="77777777" w:rsidR="0028334A" w:rsidRDefault="00400EFD" w:rsidP="0028334A">
      <w:pPr>
        <w:spacing w:after="0"/>
      </w:pPr>
      <w:r w:rsidRPr="002A2388">
        <w:t xml:space="preserve">Dr. </w:t>
      </w:r>
      <w:proofErr w:type="spellStart"/>
      <w:r w:rsidRPr="002A2388">
        <w:t>Gyorgyevics</w:t>
      </w:r>
      <w:proofErr w:type="spellEnd"/>
      <w:r w:rsidRPr="002A2388">
        <w:t xml:space="preserve"> Benedek vezérigazgató</w:t>
      </w:r>
    </w:p>
    <w:p w14:paraId="50FD6B6F" w14:textId="77777777" w:rsidR="0080301F" w:rsidRPr="000D223D" w:rsidRDefault="0080301F" w:rsidP="000D223D">
      <w:pPr>
        <w:pStyle w:val="Cmsor1"/>
      </w:pPr>
      <w:bookmarkStart w:id="0" w:name="_Hlk5999134"/>
      <w:r w:rsidRPr="000D223D">
        <w:lastRenderedPageBreak/>
        <w:t>Az ingatlanfejlesztés célja és koncepciója</w:t>
      </w:r>
      <w:bookmarkEnd w:id="0"/>
    </w:p>
    <w:p w14:paraId="250F73BE" w14:textId="77777777" w:rsidR="008A7932" w:rsidRPr="001143A9" w:rsidRDefault="008A7932" w:rsidP="008A7932">
      <w:pPr>
        <w:jc w:val="both"/>
        <w:rPr>
          <w:rStyle w:val="normaltextrun"/>
          <w:color w:val="000000"/>
          <w:szCs w:val="22"/>
          <w:shd w:val="clear" w:color="auto" w:fill="FFFFFF"/>
        </w:rPr>
      </w:pPr>
      <w:r w:rsidRPr="00923039">
        <w:rPr>
          <w:rStyle w:val="normaltextrun"/>
          <w:color w:val="000000"/>
          <w:szCs w:val="22"/>
          <w:shd w:val="clear" w:color="auto" w:fill="FFFFFF"/>
        </w:rPr>
        <w:t>Régi igény valósult meg a Városliget komplex fejlesztését és megújítását célzó Liget Budapest Projekt keretén belül</w:t>
      </w:r>
      <w:r>
        <w:rPr>
          <w:rStyle w:val="normaltextrun"/>
          <w:color w:val="000000"/>
          <w:szCs w:val="22"/>
          <w:shd w:val="clear" w:color="auto" w:fill="FFFFFF"/>
        </w:rPr>
        <w:t>, amikor a Városliget szomszédságában,</w:t>
      </w:r>
      <w:r w:rsidRPr="00923039">
        <w:rPr>
          <w:rStyle w:val="normaltextrun"/>
          <w:color w:val="000000"/>
          <w:szCs w:val="22"/>
          <w:shd w:val="clear" w:color="auto" w:fill="FFFFFF"/>
        </w:rPr>
        <w:t xml:space="preserve"> a Szabolcs utcai</w:t>
      </w:r>
      <w:r w:rsidR="00C57ECD">
        <w:rPr>
          <w:rStyle w:val="normaltextrun"/>
          <w:color w:val="000000"/>
          <w:szCs w:val="22"/>
          <w:shd w:val="clear" w:color="auto" w:fill="FFFFFF"/>
        </w:rPr>
        <w:t xml:space="preserve"> izraelita</w:t>
      </w:r>
      <w:r w:rsidRPr="00923039">
        <w:rPr>
          <w:rStyle w:val="normaltextrun"/>
          <w:color w:val="000000"/>
          <w:szCs w:val="22"/>
          <w:shd w:val="clear" w:color="auto" w:fill="FFFFFF"/>
        </w:rPr>
        <w:t xml:space="preserve"> kórház területén, </w:t>
      </w:r>
      <w:r>
        <w:rPr>
          <w:rStyle w:val="normaltextrun"/>
          <w:color w:val="000000"/>
          <w:szCs w:val="22"/>
          <w:shd w:val="clear" w:color="auto" w:fill="FFFFFF"/>
        </w:rPr>
        <w:t>létrejött</w:t>
      </w:r>
      <w:r w:rsidR="00C57ECD">
        <w:rPr>
          <w:rStyle w:val="normaltextrun"/>
          <w:color w:val="000000"/>
          <w:szCs w:val="22"/>
          <w:shd w:val="clear" w:color="auto" w:fill="FFFFFF"/>
        </w:rPr>
        <w:t xml:space="preserve"> az</w:t>
      </w:r>
      <w:r>
        <w:rPr>
          <w:rStyle w:val="normaltextrun"/>
          <w:color w:val="000000"/>
          <w:szCs w:val="22"/>
          <w:shd w:val="clear" w:color="auto" w:fill="FFFFFF"/>
        </w:rPr>
        <w:t xml:space="preserve"> öt épületből álló, 37 ezer négyzetméteres alapterületű</w:t>
      </w:r>
      <w:r w:rsidRPr="00923039">
        <w:rPr>
          <w:rStyle w:val="normaltextrun"/>
          <w:color w:val="000000"/>
          <w:szCs w:val="22"/>
          <w:shd w:val="clear" w:color="auto" w:fill="FFFFFF"/>
        </w:rPr>
        <w:t xml:space="preserve"> </w:t>
      </w:r>
      <w:r w:rsidRPr="00923039">
        <w:rPr>
          <w:rStyle w:val="normaltextrun"/>
          <w:b/>
          <w:bCs/>
          <w:color w:val="000000"/>
          <w:szCs w:val="22"/>
          <w:shd w:val="clear" w:color="auto" w:fill="FFFFFF"/>
        </w:rPr>
        <w:t>Országos Múzeumi Restaurálási és Raktározási Központ (OMRRK)</w:t>
      </w:r>
      <w:r w:rsidRPr="00923039">
        <w:rPr>
          <w:rStyle w:val="normaltextrun"/>
          <w:color w:val="000000"/>
          <w:szCs w:val="22"/>
          <w:shd w:val="clear" w:color="auto" w:fill="FFFFFF"/>
        </w:rPr>
        <w:t>. A jelentős magyarországi közgyűjtemények számára tervezett műtárgyraktározási és restaurálási központban az eddig szétszabdalt, sokszor esetlegesen elhelyezett intézményi egységek egyesül</w:t>
      </w:r>
      <w:r>
        <w:rPr>
          <w:rStyle w:val="normaltextrun"/>
          <w:color w:val="000000"/>
          <w:szCs w:val="22"/>
          <w:shd w:val="clear" w:color="auto" w:fill="FFFFFF"/>
        </w:rPr>
        <w:t>tek</w:t>
      </w:r>
      <w:r w:rsidRPr="00923039">
        <w:rPr>
          <w:rStyle w:val="normaltextrun"/>
          <w:color w:val="000000"/>
          <w:szCs w:val="22"/>
          <w:shd w:val="clear" w:color="auto" w:fill="FFFFFF"/>
        </w:rPr>
        <w:t xml:space="preserve"> egy korszerű, világszínvonalú együttesben, kiegészülve a Közép-Európai Művészettörtén</w:t>
      </w:r>
      <w:r w:rsidRPr="001143A9">
        <w:rPr>
          <w:rStyle w:val="normaltextrun"/>
          <w:color w:val="000000"/>
          <w:szCs w:val="22"/>
          <w:shd w:val="clear" w:color="auto" w:fill="FFFFFF"/>
        </w:rPr>
        <w:t xml:space="preserve">eti Kutatóintézettel. </w:t>
      </w:r>
    </w:p>
    <w:p w14:paraId="5CD80182" w14:textId="77777777" w:rsidR="008A7932" w:rsidRDefault="008A7932" w:rsidP="008A7932">
      <w:pPr>
        <w:jc w:val="both"/>
        <w:rPr>
          <w:rStyle w:val="normaltextrun"/>
          <w:color w:val="000000"/>
          <w:szCs w:val="22"/>
          <w:shd w:val="clear" w:color="auto" w:fill="FFFFFF"/>
        </w:rPr>
      </w:pPr>
      <w:r w:rsidRPr="579A2198">
        <w:rPr>
          <w:rStyle w:val="normaltextrun"/>
          <w:color w:val="000000"/>
          <w:shd w:val="clear" w:color="auto" w:fill="FFFFFF"/>
        </w:rPr>
        <w:t xml:space="preserve">A fejlesztés </w:t>
      </w:r>
      <w:r w:rsidRPr="579A2198">
        <w:rPr>
          <w:rStyle w:val="normaltextrun"/>
          <w:b/>
          <w:bCs/>
          <w:color w:val="000000"/>
          <w:shd w:val="clear" w:color="auto" w:fill="FFFFFF"/>
        </w:rPr>
        <w:t>hármas célt szolgál</w:t>
      </w:r>
      <w:r w:rsidRPr="579A2198">
        <w:rPr>
          <w:rStyle w:val="normaltextrun"/>
          <w:color w:val="000000"/>
          <w:shd w:val="clear" w:color="auto" w:fill="FFFFFF"/>
        </w:rPr>
        <w:t xml:space="preserve">, egyrészt a legjelentősebb magyarországi közgyűjtemények, a Szépművészeti Múzeum, a Magyar Nemzeti Galéria és a Néprajzi Múzeum </w:t>
      </w:r>
      <w:r w:rsidRPr="579A2198">
        <w:rPr>
          <w:rStyle w:val="normaltextrun"/>
          <w:b/>
          <w:bCs/>
          <w:color w:val="000000"/>
          <w:shd w:val="clear" w:color="auto" w:fill="FFFFFF"/>
        </w:rPr>
        <w:t>műtárgyraktározási és restaurálási műhelyei</w:t>
      </w:r>
      <w:r w:rsidRPr="579A2198">
        <w:rPr>
          <w:rStyle w:val="normaltextrun"/>
          <w:color w:val="000000"/>
          <w:shd w:val="clear" w:color="auto" w:fill="FFFFFF"/>
        </w:rPr>
        <w:t xml:space="preserve"> egyesülnek ebben a korszerű, világszínvonalú épületben. Másrészt az OMRRK a </w:t>
      </w:r>
      <w:r w:rsidRPr="579A2198">
        <w:rPr>
          <w:rStyle w:val="normaltextrun"/>
          <w:b/>
          <w:bCs/>
          <w:color w:val="000000"/>
          <w:shd w:val="clear" w:color="auto" w:fill="FFFFFF"/>
        </w:rPr>
        <w:t>Közép-Európai Művészettörténeti Kutatóintézetnek</w:t>
      </w:r>
      <w:r w:rsidRPr="579A2198">
        <w:rPr>
          <w:rStyle w:val="normaltextrun"/>
          <w:color w:val="000000"/>
          <w:shd w:val="clear" w:color="auto" w:fill="FFFFFF"/>
        </w:rPr>
        <w:t xml:space="preserve"> (KEMKI) ad helyet, harmadrészt pedig az intézmény</w:t>
      </w:r>
      <w:r w:rsidRPr="579A2198">
        <w:rPr>
          <w:rStyle w:val="normaltextrun"/>
          <w:b/>
          <w:bCs/>
          <w:color w:val="000000"/>
          <w:shd w:val="clear" w:color="auto" w:fill="FFFFFF"/>
        </w:rPr>
        <w:t xml:space="preserve"> látogatóközpontként</w:t>
      </w:r>
      <w:r w:rsidRPr="579A2198">
        <w:rPr>
          <w:rStyle w:val="normaltextrun"/>
          <w:color w:val="000000"/>
          <w:shd w:val="clear" w:color="auto" w:fill="FFFFFF"/>
        </w:rPr>
        <w:t xml:space="preserve"> funkcionál. Az intézménykomplexum köré egy, a nyitvatartási időben bárki által szabadon használható 13.000 négyzetméteres parkot is kialakítottak. </w:t>
      </w:r>
    </w:p>
    <w:p w14:paraId="787446D1" w14:textId="66FD0957" w:rsidR="0406CC50" w:rsidRDefault="0406CC50" w:rsidP="579A2198">
      <w:pPr>
        <w:jc w:val="both"/>
        <w:rPr>
          <w:rStyle w:val="normaltextrun"/>
          <w:color w:val="000000" w:themeColor="text1"/>
        </w:rPr>
      </w:pPr>
      <w:r w:rsidRPr="579A2198">
        <w:rPr>
          <w:rStyle w:val="normaltextrun"/>
          <w:color w:val="000000" w:themeColor="text1"/>
        </w:rPr>
        <w:t xml:space="preserve">Az OMRRK-t 2021-ben Európa legjobb középületének választották a londoni </w:t>
      </w:r>
      <w:r w:rsidRPr="579A2198">
        <w:rPr>
          <w:rStyle w:val="normaltextrun"/>
          <w:b/>
          <w:bCs/>
          <w:color w:val="000000" w:themeColor="text1"/>
        </w:rPr>
        <w:t xml:space="preserve">International </w:t>
      </w:r>
      <w:proofErr w:type="spellStart"/>
      <w:r w:rsidRPr="579A2198">
        <w:rPr>
          <w:rStyle w:val="normaltextrun"/>
          <w:b/>
          <w:bCs/>
          <w:color w:val="000000" w:themeColor="text1"/>
        </w:rPr>
        <w:t>Property</w:t>
      </w:r>
      <w:proofErr w:type="spellEnd"/>
      <w:r w:rsidRPr="579A2198">
        <w:rPr>
          <w:rStyle w:val="normaltextrun"/>
          <w:b/>
          <w:bCs/>
          <w:color w:val="000000" w:themeColor="text1"/>
        </w:rPr>
        <w:t xml:space="preserve"> </w:t>
      </w:r>
      <w:proofErr w:type="spellStart"/>
      <w:r w:rsidRPr="579A2198">
        <w:rPr>
          <w:rStyle w:val="normaltextrun"/>
          <w:b/>
          <w:bCs/>
          <w:color w:val="000000" w:themeColor="text1"/>
        </w:rPr>
        <w:t>Awards</w:t>
      </w:r>
      <w:proofErr w:type="spellEnd"/>
      <w:r w:rsidRPr="579A2198">
        <w:rPr>
          <w:rStyle w:val="normaltextrun"/>
          <w:color w:val="000000" w:themeColor="text1"/>
        </w:rPr>
        <w:t xml:space="preserve"> rangos megmérettetésén.</w:t>
      </w:r>
    </w:p>
    <w:p w14:paraId="65BECEFC" w14:textId="77777777" w:rsidR="0080301F" w:rsidRPr="00BA7E72" w:rsidRDefault="0080301F" w:rsidP="00BA7E72">
      <w:pPr>
        <w:pStyle w:val="Cmsor1"/>
      </w:pPr>
      <w:r w:rsidRPr="00BA7E72">
        <w:t xml:space="preserve">Építészeti és városfejlesztési koncepció </w:t>
      </w:r>
    </w:p>
    <w:p w14:paraId="641795ED" w14:textId="77777777" w:rsidR="00923039" w:rsidRDefault="00923039" w:rsidP="001143A9">
      <w:pPr>
        <w:jc w:val="both"/>
        <w:rPr>
          <w:rStyle w:val="normaltextrun"/>
          <w:color w:val="000000"/>
          <w:szCs w:val="22"/>
          <w:shd w:val="clear" w:color="auto" w:fill="FFFFFF"/>
        </w:rPr>
      </w:pPr>
      <w:r w:rsidRPr="001143A9">
        <w:rPr>
          <w:rStyle w:val="normaltextrun"/>
          <w:color w:val="000000"/>
          <w:szCs w:val="22"/>
          <w:shd w:val="clear" w:color="auto" w:fill="FFFFFF"/>
        </w:rPr>
        <w:t>A Városliget közelében, az egykori Izraelita Kórház területén létrejött épületegyüttes közel negyvenezer négyzetméteren a Liget Budapest Projekt szakmai és infrastrukturális hátterét is biztosítja, továbbá a területen új zöldfelületek is megnyíltak a környék lakói számára.</w:t>
      </w:r>
      <w:r w:rsidR="00C57ECD">
        <w:rPr>
          <w:rStyle w:val="normaltextrun"/>
          <w:color w:val="000000"/>
          <w:szCs w:val="22"/>
          <w:shd w:val="clear" w:color="auto" w:fill="FFFFFF"/>
        </w:rPr>
        <w:t xml:space="preserve"> </w:t>
      </w:r>
      <w:r w:rsidRPr="001143A9">
        <w:rPr>
          <w:rStyle w:val="normaltextrun"/>
          <w:color w:val="000000"/>
          <w:szCs w:val="22"/>
          <w:shd w:val="clear" w:color="auto" w:fill="FFFFFF"/>
        </w:rPr>
        <w:t xml:space="preserve">A fejlesztés </w:t>
      </w:r>
      <w:r w:rsidRPr="00727669">
        <w:rPr>
          <w:rStyle w:val="normaltextrun"/>
          <w:b/>
          <w:bCs/>
          <w:color w:val="000000"/>
          <w:szCs w:val="22"/>
          <w:shd w:val="clear" w:color="auto" w:fill="FFFFFF"/>
        </w:rPr>
        <w:t>barnamezős beruházás</w:t>
      </w:r>
      <w:r w:rsidRPr="001143A9">
        <w:rPr>
          <w:rStyle w:val="normaltextrun"/>
          <w:color w:val="000000"/>
          <w:szCs w:val="22"/>
          <w:shd w:val="clear" w:color="auto" w:fill="FFFFFF"/>
        </w:rPr>
        <w:t xml:space="preserve">ként, az </w:t>
      </w:r>
      <w:r w:rsidRPr="00923039">
        <w:rPr>
          <w:rStyle w:val="normaltextrun"/>
          <w:color w:val="000000"/>
          <w:szCs w:val="22"/>
          <w:shd w:val="clear" w:color="auto" w:fill="FFFFFF"/>
        </w:rPr>
        <w:t xml:space="preserve">értékes épületegyüttes részleges </w:t>
      </w:r>
      <w:proofErr w:type="spellStart"/>
      <w:r w:rsidRPr="00923039">
        <w:rPr>
          <w:rStyle w:val="normaltextrun"/>
          <w:color w:val="000000"/>
          <w:szCs w:val="22"/>
          <w:shd w:val="clear" w:color="auto" w:fill="FFFFFF"/>
        </w:rPr>
        <w:t>újrahasznosításával</w:t>
      </w:r>
      <w:proofErr w:type="spellEnd"/>
      <w:r w:rsidRPr="00923039">
        <w:rPr>
          <w:rStyle w:val="normaltextrun"/>
          <w:color w:val="000000"/>
          <w:szCs w:val="22"/>
          <w:shd w:val="clear" w:color="auto" w:fill="FFFFFF"/>
        </w:rPr>
        <w:t xml:space="preserve"> és kiegészítésével,</w:t>
      </w:r>
      <w:r>
        <w:rPr>
          <w:rStyle w:val="normaltextrun"/>
          <w:color w:val="000000"/>
          <w:szCs w:val="22"/>
          <w:shd w:val="clear" w:color="auto" w:fill="FFFFFF"/>
        </w:rPr>
        <w:t xml:space="preserve"> </w:t>
      </w:r>
      <w:r w:rsidRPr="00923039">
        <w:rPr>
          <w:rStyle w:val="normaltextrun"/>
          <w:color w:val="000000"/>
          <w:szCs w:val="22"/>
          <w:shd w:val="clear" w:color="auto" w:fill="FFFFFF"/>
        </w:rPr>
        <w:t xml:space="preserve">továbbá a jelentős </w:t>
      </w:r>
      <w:proofErr w:type="spellStart"/>
      <w:r w:rsidRPr="00923039">
        <w:rPr>
          <w:rStyle w:val="normaltextrun"/>
          <w:color w:val="000000"/>
          <w:szCs w:val="22"/>
          <w:shd w:val="clear" w:color="auto" w:fill="FFFFFF"/>
        </w:rPr>
        <w:t>ősfás</w:t>
      </w:r>
      <w:proofErr w:type="spellEnd"/>
      <w:r w:rsidRPr="00923039">
        <w:rPr>
          <w:rStyle w:val="normaltextrun"/>
          <w:color w:val="000000"/>
          <w:szCs w:val="22"/>
          <w:shd w:val="clear" w:color="auto" w:fill="FFFFFF"/>
        </w:rPr>
        <w:t xml:space="preserve"> vegetáció védelmével valósul</w:t>
      </w:r>
      <w:r>
        <w:rPr>
          <w:rStyle w:val="normaltextrun"/>
          <w:color w:val="000000"/>
          <w:szCs w:val="22"/>
          <w:shd w:val="clear" w:color="auto" w:fill="FFFFFF"/>
        </w:rPr>
        <w:t>t</w:t>
      </w:r>
      <w:r w:rsidRPr="00923039">
        <w:rPr>
          <w:rStyle w:val="normaltextrun"/>
          <w:color w:val="000000"/>
          <w:szCs w:val="22"/>
          <w:shd w:val="clear" w:color="auto" w:fill="FFFFFF"/>
        </w:rPr>
        <w:t xml:space="preserve"> meg - a terület további fejlesztésének</w:t>
      </w:r>
      <w:r>
        <w:rPr>
          <w:rStyle w:val="normaltextrun"/>
          <w:color w:val="000000"/>
          <w:szCs w:val="22"/>
          <w:shd w:val="clear" w:color="auto" w:fill="FFFFFF"/>
        </w:rPr>
        <w:t xml:space="preserve"> </w:t>
      </w:r>
      <w:r w:rsidRPr="00923039">
        <w:rPr>
          <w:rStyle w:val="normaltextrun"/>
          <w:color w:val="000000"/>
          <w:szCs w:val="22"/>
          <w:shd w:val="clear" w:color="auto" w:fill="FFFFFF"/>
        </w:rPr>
        <w:t xml:space="preserve">katalizátoraként. </w:t>
      </w:r>
    </w:p>
    <w:p w14:paraId="77DF9304" w14:textId="77777777" w:rsidR="00C57ECD" w:rsidRDefault="00923039" w:rsidP="00C57ECD">
      <w:pPr>
        <w:pStyle w:val="paragraph"/>
        <w:spacing w:before="0" w:beforeAutospacing="0" w:after="240" w:afterAutospacing="0" w:line="360" w:lineRule="auto"/>
        <w:jc w:val="both"/>
        <w:textAlignment w:val="baseline"/>
        <w:rPr>
          <w:rStyle w:val="normaltextrun"/>
          <w:color w:val="000000"/>
          <w:szCs w:val="22"/>
          <w:shd w:val="clear" w:color="auto" w:fill="FFFFFF"/>
        </w:rPr>
      </w:pPr>
      <w:r w:rsidRPr="00923039">
        <w:rPr>
          <w:rStyle w:val="normaltextrun"/>
          <w:rFonts w:ascii="Bookman Old Style" w:hAnsi="Bookman Old Style"/>
          <w:color w:val="000000"/>
          <w:sz w:val="22"/>
          <w:szCs w:val="22"/>
          <w:shd w:val="clear" w:color="auto" w:fill="FFFFFF"/>
        </w:rPr>
        <w:t xml:space="preserve">A </w:t>
      </w:r>
      <w:r>
        <w:rPr>
          <w:rStyle w:val="normaltextrun"/>
          <w:color w:val="000000"/>
          <w:szCs w:val="22"/>
          <w:shd w:val="clear" w:color="auto" w:fill="FFFFFF"/>
        </w:rPr>
        <w:t xml:space="preserve">fejlesztés </w:t>
      </w:r>
      <w:r w:rsidRPr="00923039">
        <w:rPr>
          <w:rStyle w:val="normaltextrun"/>
          <w:rFonts w:ascii="Bookman Old Style" w:hAnsi="Bookman Old Style"/>
          <w:color w:val="000000"/>
          <w:sz w:val="22"/>
          <w:szCs w:val="22"/>
          <w:shd w:val="clear" w:color="auto" w:fill="FFFFFF"/>
        </w:rPr>
        <w:t>a</w:t>
      </w:r>
      <w:r>
        <w:rPr>
          <w:rStyle w:val="normaltextrun"/>
          <w:color w:val="000000"/>
          <w:szCs w:val="22"/>
          <w:shd w:val="clear" w:color="auto" w:fill="FFFFFF"/>
        </w:rPr>
        <w:t xml:space="preserve"> rendeltetéshez illően a</w:t>
      </w:r>
      <w:r w:rsidRPr="00923039">
        <w:rPr>
          <w:rStyle w:val="normaltextrun"/>
          <w:rFonts w:ascii="Bookman Old Style" w:hAnsi="Bookman Old Style"/>
          <w:color w:val="000000"/>
          <w:sz w:val="22"/>
          <w:szCs w:val="22"/>
          <w:shd w:val="clear" w:color="auto" w:fill="FFFFFF"/>
        </w:rPr>
        <w:t xml:space="preserve"> régi és új épületek összhangjára törek</w:t>
      </w:r>
      <w:r>
        <w:rPr>
          <w:rStyle w:val="normaltextrun"/>
          <w:color w:val="000000"/>
          <w:szCs w:val="22"/>
          <w:shd w:val="clear" w:color="auto" w:fill="FFFFFF"/>
        </w:rPr>
        <w:t xml:space="preserve">edett. </w:t>
      </w:r>
      <w:r w:rsidR="001143A9">
        <w:rPr>
          <w:rStyle w:val="normaltextrun"/>
          <w:rFonts w:ascii="Bookman Old Style" w:hAnsi="Bookman Old Style"/>
          <w:color w:val="000000"/>
          <w:sz w:val="22"/>
          <w:szCs w:val="22"/>
          <w:shd w:val="clear" w:color="auto" w:fill="FFFFFF"/>
        </w:rPr>
        <w:t>A telek két értékes, Freund Vilmos által tervezett régi épületét</w:t>
      </w:r>
      <w:r w:rsidR="0073668B">
        <w:rPr>
          <w:rStyle w:val="normaltextrun"/>
          <w:rFonts w:ascii="Bookman Old Style" w:hAnsi="Bookman Old Style"/>
          <w:color w:val="000000"/>
          <w:sz w:val="22"/>
          <w:szCs w:val="22"/>
          <w:shd w:val="clear" w:color="auto" w:fill="FFFFFF"/>
        </w:rPr>
        <w:t xml:space="preserve">, </w:t>
      </w:r>
      <w:r w:rsidR="0073668B" w:rsidRPr="0073668B">
        <w:rPr>
          <w:rStyle w:val="normaltextrun"/>
          <w:color w:val="000000"/>
          <w:szCs w:val="22"/>
          <w:shd w:val="clear" w:color="auto" w:fill="FFFFFF"/>
        </w:rPr>
        <w:t>az egykori Bródy Adél Klinik</w:t>
      </w:r>
      <w:r w:rsidR="0073668B">
        <w:rPr>
          <w:rStyle w:val="normaltextrun"/>
          <w:color w:val="000000"/>
          <w:szCs w:val="22"/>
          <w:shd w:val="clear" w:color="auto" w:fill="FFFFFF"/>
        </w:rPr>
        <w:t>át</w:t>
      </w:r>
      <w:r w:rsidR="0073668B" w:rsidRPr="0073668B">
        <w:rPr>
          <w:rStyle w:val="normaltextrun"/>
          <w:color w:val="000000"/>
          <w:szCs w:val="22"/>
          <w:shd w:val="clear" w:color="auto" w:fill="FFFFFF"/>
        </w:rPr>
        <w:t xml:space="preserve"> és a zsidó imaház</w:t>
      </w:r>
      <w:r w:rsidR="0073668B">
        <w:rPr>
          <w:rStyle w:val="normaltextrun"/>
          <w:color w:val="000000"/>
          <w:szCs w:val="22"/>
          <w:shd w:val="clear" w:color="auto" w:fill="FFFFFF"/>
        </w:rPr>
        <w:t>at</w:t>
      </w:r>
      <w:r w:rsidR="001143A9" w:rsidRPr="0073668B">
        <w:rPr>
          <w:rStyle w:val="normaltextrun"/>
          <w:color w:val="000000"/>
          <w:szCs w:val="22"/>
          <w:shd w:val="clear" w:color="auto" w:fill="FFFFFF"/>
        </w:rPr>
        <w:t xml:space="preserve"> </w:t>
      </w:r>
      <w:r w:rsidR="0073668B">
        <w:rPr>
          <w:rStyle w:val="normaltextrun"/>
          <w:rFonts w:ascii="Bookman Old Style" w:hAnsi="Bookman Old Style"/>
          <w:color w:val="000000"/>
          <w:sz w:val="22"/>
          <w:szCs w:val="22"/>
          <w:shd w:val="clear" w:color="auto" w:fill="FFFFFF"/>
        </w:rPr>
        <w:t>az</w:t>
      </w:r>
      <w:r w:rsidR="001143A9">
        <w:rPr>
          <w:rStyle w:val="normaltextrun"/>
          <w:rFonts w:ascii="Bookman Old Style" w:hAnsi="Bookman Old Style"/>
          <w:color w:val="000000"/>
          <w:sz w:val="22"/>
          <w:szCs w:val="22"/>
          <w:shd w:val="clear" w:color="auto" w:fill="FFFFFF"/>
        </w:rPr>
        <w:t xml:space="preserve"> örökségvédelmi szempontok figyelembevételével újították fel.</w:t>
      </w:r>
      <w:r w:rsidR="0073668B" w:rsidRPr="0073668B">
        <w:rPr>
          <w:rFonts w:ascii="Bookman Old Style" w:hAnsi="Bookman Old Style"/>
        </w:rPr>
        <w:t xml:space="preserve"> </w:t>
      </w:r>
      <w:r w:rsidR="001143A9" w:rsidRPr="00923039">
        <w:rPr>
          <w:rStyle w:val="normaltextrun"/>
          <w:color w:val="000000"/>
          <w:szCs w:val="22"/>
          <w:shd w:val="clear" w:color="auto" w:fill="FFFFFF"/>
        </w:rPr>
        <w:t xml:space="preserve"> </w:t>
      </w:r>
      <w:r w:rsidRPr="00923039">
        <w:rPr>
          <w:rStyle w:val="normaltextrun"/>
          <w:rFonts w:ascii="Bookman Old Style" w:hAnsi="Bookman Old Style"/>
          <w:color w:val="000000"/>
          <w:sz w:val="22"/>
          <w:szCs w:val="22"/>
          <w:shd w:val="clear" w:color="auto" w:fill="FFFFFF"/>
        </w:rPr>
        <w:t xml:space="preserve">Az </w:t>
      </w:r>
      <w:r w:rsidRPr="00923039">
        <w:rPr>
          <w:rStyle w:val="normaltextrun"/>
          <w:rFonts w:ascii="Bookman Old Style" w:hAnsi="Bookman Old Style"/>
          <w:color w:val="000000"/>
          <w:sz w:val="22"/>
          <w:szCs w:val="22"/>
          <w:shd w:val="clear" w:color="auto" w:fill="FFFFFF"/>
        </w:rPr>
        <w:lastRenderedPageBreak/>
        <w:t>új épület tagoltságával és anyaghasználatával illeszkedik a 19. századi, kisebb volumenű kórházi pavilonépületekhez,</w:t>
      </w:r>
      <w:r>
        <w:rPr>
          <w:rStyle w:val="normaltextrun"/>
          <w:color w:val="000000"/>
          <w:szCs w:val="22"/>
          <w:shd w:val="clear" w:color="auto" w:fill="FFFFFF"/>
        </w:rPr>
        <w:t xml:space="preserve"> </w:t>
      </w:r>
      <w:r w:rsidRPr="00923039">
        <w:rPr>
          <w:rStyle w:val="normaltextrun"/>
          <w:rFonts w:ascii="Bookman Old Style" w:hAnsi="Bookman Old Style"/>
          <w:color w:val="000000"/>
          <w:sz w:val="22"/>
          <w:szCs w:val="22"/>
          <w:shd w:val="clear" w:color="auto" w:fill="FFFFFF"/>
        </w:rPr>
        <w:t>egyszerű szerkesztésével, klasszikus arányaival pedig az időtlenség, a stabilitás karakterét</w:t>
      </w:r>
      <w:r>
        <w:rPr>
          <w:rStyle w:val="normaltextrun"/>
          <w:color w:val="000000"/>
          <w:szCs w:val="22"/>
          <w:shd w:val="clear" w:color="auto" w:fill="FFFFFF"/>
        </w:rPr>
        <w:t xml:space="preserve"> idézi meg. </w:t>
      </w:r>
    </w:p>
    <w:p w14:paraId="5717EC33" w14:textId="77777777" w:rsidR="00BE6E3D" w:rsidRDefault="0080301F" w:rsidP="00C57ECD">
      <w:pPr>
        <w:pStyle w:val="Cmsor1"/>
      </w:pPr>
      <w:r w:rsidRPr="00C57ECD">
        <w:t>Rövid leírás a fejlesztésről</w:t>
      </w:r>
    </w:p>
    <w:p w14:paraId="4BCD4229" w14:textId="77777777" w:rsidR="00540740" w:rsidRPr="00540740" w:rsidRDefault="00540740" w:rsidP="00540740">
      <w:pPr>
        <w:pStyle w:val="Cmsor2"/>
        <w:rPr>
          <w:rStyle w:val="normaltextrun"/>
        </w:rPr>
      </w:pPr>
      <w:proofErr w:type="gramStart"/>
      <w:r w:rsidRPr="00540740">
        <w:rPr>
          <w:rStyle w:val="normaltextrun"/>
        </w:rPr>
        <w:t>A</w:t>
      </w:r>
      <w:proofErr w:type="gramEnd"/>
      <w:r w:rsidRPr="00540740">
        <w:rPr>
          <w:rStyle w:val="normaltextrun"/>
        </w:rPr>
        <w:t xml:space="preserve"> épület </w:t>
      </w:r>
    </w:p>
    <w:p w14:paraId="1C6FEC5F" w14:textId="77777777" w:rsidR="006A718C" w:rsidRPr="006A718C" w:rsidRDefault="006A718C" w:rsidP="00727669">
      <w:pPr>
        <w:jc w:val="both"/>
        <w:rPr>
          <w:rStyle w:val="normaltextrun"/>
          <w:color w:val="000000"/>
          <w:szCs w:val="22"/>
          <w:shd w:val="clear" w:color="auto" w:fill="FFFFFF"/>
        </w:rPr>
      </w:pPr>
      <w:r w:rsidRPr="006A718C">
        <w:rPr>
          <w:rStyle w:val="normaltextrun"/>
          <w:color w:val="000000"/>
          <w:shd w:val="clear" w:color="auto" w:fill="FFFFFF"/>
        </w:rPr>
        <w:t>Az</w:t>
      </w:r>
      <w:r w:rsidR="00727669">
        <w:rPr>
          <w:rStyle w:val="normaltextrun"/>
          <w:color w:val="000000"/>
          <w:shd w:val="clear" w:color="auto" w:fill="FFFFFF"/>
        </w:rPr>
        <w:t xml:space="preserve"> </w:t>
      </w:r>
      <w:r w:rsidRPr="00540740">
        <w:rPr>
          <w:rStyle w:val="normaltextrun"/>
          <w:color w:val="000000"/>
          <w:shd w:val="clear" w:color="auto" w:fill="FFFFFF"/>
        </w:rPr>
        <w:t>A</w:t>
      </w:r>
      <w:r w:rsidR="00727669" w:rsidRPr="00540740">
        <w:rPr>
          <w:rStyle w:val="normaltextrun"/>
          <w:color w:val="000000"/>
          <w:shd w:val="clear" w:color="auto" w:fill="FFFFFF"/>
        </w:rPr>
        <w:t xml:space="preserve"> </w:t>
      </w:r>
      <w:r w:rsidR="00727669" w:rsidRPr="00540740">
        <w:rPr>
          <w:rStyle w:val="normaltextrun"/>
          <w:rFonts w:eastAsiaTheme="majorEastAsia"/>
          <w:color w:val="000000"/>
          <w:shd w:val="clear" w:color="auto" w:fill="FFFFFF"/>
        </w:rPr>
        <w:t>épület,</w:t>
      </w:r>
      <w:r w:rsidR="00727669" w:rsidRPr="00727669">
        <w:rPr>
          <w:rStyle w:val="normaltextrun"/>
          <w:rFonts w:eastAsiaTheme="majorEastAsia"/>
          <w:b/>
          <w:bCs/>
          <w:color w:val="000000"/>
          <w:shd w:val="clear" w:color="auto" w:fill="FFFFFF"/>
        </w:rPr>
        <w:t xml:space="preserve"> </w:t>
      </w:r>
      <w:r w:rsidR="00727669" w:rsidRPr="00727669">
        <w:rPr>
          <w:rStyle w:val="normaltextrun"/>
          <w:rFonts w:eastAsiaTheme="majorEastAsia"/>
          <w:color w:val="000000"/>
          <w:shd w:val="clear" w:color="auto" w:fill="FFFFFF"/>
        </w:rPr>
        <w:t>a</w:t>
      </w:r>
      <w:r w:rsidRPr="006A718C">
        <w:rPr>
          <w:rStyle w:val="normaltextrun"/>
          <w:color w:val="000000"/>
          <w:shd w:val="clear" w:color="auto" w:fill="FFFFFF"/>
        </w:rPr>
        <w:t xml:space="preserve"> központi épület, a</w:t>
      </w:r>
      <w:r w:rsidR="00727669">
        <w:rPr>
          <w:rStyle w:val="normaltextrun"/>
          <w:color w:val="000000"/>
          <w:shd w:val="clear" w:color="auto" w:fill="FFFFFF"/>
        </w:rPr>
        <w:t xml:space="preserve"> </w:t>
      </w:r>
      <w:r w:rsidRPr="00BE6E3D">
        <w:rPr>
          <w:rStyle w:val="normaltextrun"/>
          <w:b/>
          <w:bCs/>
          <w:color w:val="000000"/>
          <w:shd w:val="clear" w:color="auto" w:fill="FFFFFF"/>
        </w:rPr>
        <w:t>Restaurálási és raktározási központ</w:t>
      </w:r>
      <w:r w:rsidRPr="006A718C">
        <w:rPr>
          <w:rStyle w:val="normaltextrun"/>
          <w:color w:val="000000"/>
          <w:shd w:val="clear" w:color="auto" w:fill="FFFFFF"/>
        </w:rPr>
        <w:t xml:space="preserve"> mely a térszínt alatt négy szinten ad helyet a műtárgyraktáraknak. A térszint feletti három szinten korszerű restaurátorműhelyek és műtárgydiagnosztikai laborhelyiségek kaptak helyet.</w:t>
      </w:r>
      <w:r w:rsidR="00727669">
        <w:rPr>
          <w:rStyle w:val="normaltextrun"/>
          <w:color w:val="000000"/>
          <w:shd w:val="clear" w:color="auto" w:fill="FFFFFF"/>
        </w:rPr>
        <w:t xml:space="preserve"> </w:t>
      </w:r>
      <w:r w:rsidRPr="006A718C">
        <w:rPr>
          <w:rStyle w:val="normaltextrun"/>
          <w:color w:val="000000"/>
          <w:shd w:val="clear" w:color="auto" w:fill="FFFFFF"/>
        </w:rPr>
        <w:t>A teljes épület alatt térszint alatti beépítés készült. Az épület emeleti szintjei északkeletre tájolt haránt-traktusos</w:t>
      </w:r>
      <w:r w:rsidR="00727669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Pr="006A718C">
        <w:rPr>
          <w:rStyle w:val="normaltextrun"/>
          <w:color w:val="000000"/>
          <w:shd w:val="clear" w:color="auto" w:fill="FFFFFF"/>
        </w:rPr>
        <w:t>tömegformálásúak</w:t>
      </w:r>
      <w:proofErr w:type="spellEnd"/>
      <w:r w:rsidRPr="006A718C">
        <w:rPr>
          <w:rStyle w:val="normaltextrun"/>
          <w:color w:val="000000"/>
          <w:shd w:val="clear" w:color="auto" w:fill="FFFFFF"/>
        </w:rPr>
        <w:t>, ezt a műtermek indirekt fénnyel történő bevilágítása indokolja, a tagoltság egyúttal a meglévő beépítés karakteréhez és léptékéhez közelíti az egyébként nagyobb volumenű épületet.</w:t>
      </w:r>
    </w:p>
    <w:p w14:paraId="0CCBCB50" w14:textId="77777777" w:rsidR="006A718C" w:rsidRPr="000D223D" w:rsidRDefault="006A718C" w:rsidP="00BE6E3D">
      <w:pPr>
        <w:spacing w:after="0"/>
        <w:jc w:val="both"/>
        <w:rPr>
          <w:rStyle w:val="normaltextrun"/>
          <w:color w:val="000000"/>
          <w:szCs w:val="22"/>
          <w:shd w:val="clear" w:color="auto" w:fill="FFFFFF"/>
        </w:rPr>
      </w:pPr>
      <w:proofErr w:type="gramStart"/>
      <w:r w:rsidRPr="000D223D">
        <w:rPr>
          <w:rStyle w:val="normaltextrun"/>
          <w:rFonts w:eastAsiaTheme="majorEastAsia"/>
          <w:color w:val="000000"/>
          <w:shd w:val="clear" w:color="auto" w:fill="FFFFFF"/>
        </w:rPr>
        <w:t>A</w:t>
      </w:r>
      <w:proofErr w:type="gramEnd"/>
      <w:r w:rsidR="00727669" w:rsidRPr="000D223D">
        <w:rPr>
          <w:rStyle w:val="normaltextrun"/>
          <w:color w:val="000000"/>
          <w:shd w:val="clear" w:color="auto" w:fill="FFFFFF"/>
        </w:rPr>
        <w:t xml:space="preserve"> </w:t>
      </w:r>
      <w:r w:rsidRPr="000D223D">
        <w:rPr>
          <w:rStyle w:val="normaltextrun"/>
          <w:color w:val="000000"/>
          <w:shd w:val="clear" w:color="auto" w:fill="FFFFFF"/>
        </w:rPr>
        <w:t>épület főbb paraméterei:</w:t>
      </w:r>
      <w:r w:rsidR="00727669" w:rsidRPr="000D223D">
        <w:rPr>
          <w:rStyle w:val="normaltextrun"/>
          <w:color w:val="000000"/>
          <w:shd w:val="clear" w:color="auto" w:fill="FFFFFF"/>
        </w:rPr>
        <w:t xml:space="preserve"> </w:t>
      </w:r>
    </w:p>
    <w:p w14:paraId="01436487" w14:textId="77777777" w:rsidR="00727669" w:rsidRPr="00727669" w:rsidRDefault="00727669" w:rsidP="00BE6E3D">
      <w:pPr>
        <w:pStyle w:val="Listaszerbekezds"/>
        <w:numPr>
          <w:ilvl w:val="0"/>
          <w:numId w:val="17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Helyiségek alapterülete: 29.460 m</w:t>
      </w:r>
      <w:proofErr w:type="gramStart"/>
      <w:r w:rsidRPr="579A2198">
        <w:rPr>
          <w:rFonts w:cs="Segoe UI"/>
        </w:rPr>
        <w:t>²  (</w:t>
      </w:r>
      <w:proofErr w:type="gramEnd"/>
      <w:r w:rsidRPr="579A2198">
        <w:rPr>
          <w:rFonts w:cs="Segoe UI"/>
        </w:rPr>
        <w:t xml:space="preserve">kb. 30 000 m2) </w:t>
      </w:r>
    </w:p>
    <w:p w14:paraId="117445D2" w14:textId="77777777" w:rsidR="00727669" w:rsidRPr="00727669" w:rsidRDefault="00727669" w:rsidP="00BE6E3D">
      <w:pPr>
        <w:pStyle w:val="Listaszerbekezds"/>
        <w:numPr>
          <w:ilvl w:val="0"/>
          <w:numId w:val="17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 xml:space="preserve">Restaurátor műhelyek területe: 3 560 m² (kb. 3 500 m²), mely 70 db restaurátor munkaállomást jelent </w:t>
      </w:r>
    </w:p>
    <w:p w14:paraId="34A7344D" w14:textId="77777777" w:rsidR="00727669" w:rsidRPr="00727669" w:rsidRDefault="00727669" w:rsidP="00BE6E3D">
      <w:pPr>
        <w:pStyle w:val="Listaszerbekezds"/>
        <w:numPr>
          <w:ilvl w:val="0"/>
          <w:numId w:val="17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 xml:space="preserve">Laborhelyiség területe: 192 m² (kb. 200 m²) </w:t>
      </w:r>
    </w:p>
    <w:p w14:paraId="0D8E36FE" w14:textId="77777777" w:rsidR="00727669" w:rsidRPr="00727669" w:rsidRDefault="00727669" w:rsidP="00BE6E3D">
      <w:pPr>
        <w:pStyle w:val="Listaszerbekezds"/>
        <w:numPr>
          <w:ilvl w:val="0"/>
          <w:numId w:val="17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 xml:space="preserve">Műtárgyraktár alapterülete: 14 921 m² (kb. 15 000 m²); 52 db raktárhelyiség, mely 37 000 polcfolyóméter rakodófelületet, 25 000 m² képrácsfelületet jelent.  </w:t>
      </w:r>
    </w:p>
    <w:p w14:paraId="23E07545" w14:textId="77777777" w:rsidR="00727669" w:rsidRPr="00727669" w:rsidRDefault="00727669" w:rsidP="00BE6E3D">
      <w:pPr>
        <w:pStyle w:val="Listaszerbekezds"/>
        <w:numPr>
          <w:ilvl w:val="1"/>
          <w:numId w:val="17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Néprajzi Múzeum műtárgyszám: kb. 190</w:t>
      </w:r>
      <w:r w:rsidRPr="579A2198">
        <w:rPr>
          <w:rFonts w:ascii="Times New Roman" w:hAnsi="Times New Roman"/>
        </w:rPr>
        <w:t> </w:t>
      </w:r>
      <w:r w:rsidRPr="579A2198">
        <w:rPr>
          <w:rFonts w:cs="Segoe UI"/>
        </w:rPr>
        <w:t xml:space="preserve">000 db </w:t>
      </w:r>
    </w:p>
    <w:p w14:paraId="74FFA2BB" w14:textId="77777777" w:rsidR="00727669" w:rsidRPr="00727669" w:rsidRDefault="00727669" w:rsidP="00BE6E3D">
      <w:pPr>
        <w:pStyle w:val="Listaszerbekezds"/>
        <w:numPr>
          <w:ilvl w:val="1"/>
          <w:numId w:val="17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 xml:space="preserve">Szépművészeti Múzeum – Magyar Nemzeti Galéria műtárgyszám: kb. 125000 db </w:t>
      </w:r>
    </w:p>
    <w:p w14:paraId="0E12CD25" w14:textId="77777777" w:rsidR="006A718C" w:rsidRPr="00727669" w:rsidRDefault="00727669" w:rsidP="00BE6E3D">
      <w:pPr>
        <w:pStyle w:val="Listaszerbekezds"/>
        <w:numPr>
          <w:ilvl w:val="1"/>
          <w:numId w:val="17"/>
        </w:numPr>
        <w:spacing w:after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579A2198">
        <w:rPr>
          <w:rFonts w:cs="Segoe UI"/>
        </w:rPr>
        <w:t>Összes műtárgyszám: kb. 315 000 db</w:t>
      </w:r>
    </w:p>
    <w:p w14:paraId="0254C136" w14:textId="77777777" w:rsidR="006A718C" w:rsidRDefault="006A718C" w:rsidP="006A718C">
      <w:pPr>
        <w:spacing w:after="0" w:line="240" w:lineRule="auto"/>
        <w:jc w:val="both"/>
        <w:textAlignment w:val="baseline"/>
        <w:rPr>
          <w:rFonts w:cs="Segoe UI"/>
          <w:szCs w:val="22"/>
        </w:rPr>
      </w:pPr>
      <w:r w:rsidRPr="006A718C">
        <w:rPr>
          <w:rFonts w:cs="Segoe UI"/>
          <w:szCs w:val="22"/>
        </w:rPr>
        <w:t> </w:t>
      </w:r>
    </w:p>
    <w:p w14:paraId="0884F403" w14:textId="77777777" w:rsidR="00540740" w:rsidRDefault="00540740" w:rsidP="00540740">
      <w:pPr>
        <w:pStyle w:val="Cmsor2"/>
      </w:pPr>
      <w:r>
        <w:t>B épület</w:t>
      </w:r>
    </w:p>
    <w:p w14:paraId="6F91BDD4" w14:textId="77777777" w:rsidR="00540740" w:rsidRPr="006A718C" w:rsidRDefault="00540740" w:rsidP="006A718C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52C5B54" w14:textId="77777777" w:rsidR="006A718C" w:rsidRDefault="006A718C" w:rsidP="00BE6E3D">
      <w:pPr>
        <w:spacing w:after="0"/>
        <w:jc w:val="both"/>
        <w:textAlignment w:val="baseline"/>
        <w:rPr>
          <w:rStyle w:val="normaltextrun"/>
          <w:color w:val="000000"/>
          <w:shd w:val="clear" w:color="auto" w:fill="FFFFFF"/>
        </w:rPr>
      </w:pPr>
      <w:r w:rsidRPr="006A718C">
        <w:rPr>
          <w:rStyle w:val="normaltextrun"/>
          <w:color w:val="000000"/>
          <w:shd w:val="clear" w:color="auto" w:fill="FFFFFF"/>
        </w:rPr>
        <w:t xml:space="preserve">A B épület a </w:t>
      </w:r>
      <w:r w:rsidRPr="006A718C">
        <w:rPr>
          <w:rStyle w:val="normaltextrun"/>
          <w:b/>
          <w:bCs/>
          <w:color w:val="000000"/>
          <w:shd w:val="clear" w:color="auto" w:fill="FFFFFF"/>
        </w:rPr>
        <w:t>Mélygarázs</w:t>
      </w:r>
      <w:r w:rsidRPr="006A718C">
        <w:rPr>
          <w:rStyle w:val="normaltextrun"/>
          <w:color w:val="000000"/>
          <w:shd w:val="clear" w:color="auto" w:fill="FFFFFF"/>
        </w:rPr>
        <w:t>, mely a -1 szinten kialakított kéreggarázsban helyezkedik el. A parkolóház a Szabolcs utcát a Vágány utcával összekötő szervizútról tárható fel. A térszínen a lehajtó rámpa fedése, illetve a lépcső- és liftházak felépítményei jelennek meg, amelyek építészetileg közvetlenül kapcsolódnak az </w:t>
      </w:r>
      <w:proofErr w:type="gramStart"/>
      <w:r w:rsidRPr="006A718C">
        <w:rPr>
          <w:rStyle w:val="normaltextrun"/>
          <w:rFonts w:eastAsiaTheme="majorEastAsia"/>
          <w:color w:val="000000"/>
          <w:shd w:val="clear" w:color="auto" w:fill="FFFFFF"/>
        </w:rPr>
        <w:t>A</w:t>
      </w:r>
      <w:proofErr w:type="gramEnd"/>
      <w:r w:rsidRPr="006A718C">
        <w:rPr>
          <w:rStyle w:val="normaltextrun"/>
          <w:color w:val="000000"/>
          <w:shd w:val="clear" w:color="auto" w:fill="FFFFFF"/>
        </w:rPr>
        <w:t> illetve D épületekhez. </w:t>
      </w:r>
    </w:p>
    <w:p w14:paraId="51B870AB" w14:textId="77777777" w:rsidR="0073668B" w:rsidRPr="006A718C" w:rsidRDefault="0073668B" w:rsidP="00BE6E3D">
      <w:pPr>
        <w:spacing w:after="0"/>
        <w:jc w:val="both"/>
        <w:textAlignment w:val="baseline"/>
        <w:rPr>
          <w:rStyle w:val="normaltextrun"/>
          <w:color w:val="000000"/>
          <w:shd w:val="clear" w:color="auto" w:fill="FFFFFF"/>
        </w:rPr>
      </w:pPr>
    </w:p>
    <w:p w14:paraId="2BC73114" w14:textId="77777777" w:rsidR="006A718C" w:rsidRPr="006A718C" w:rsidRDefault="006A718C" w:rsidP="00540740">
      <w:pPr>
        <w:spacing w:after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A718C">
        <w:rPr>
          <w:rFonts w:cs="Segoe UI"/>
          <w:szCs w:val="22"/>
        </w:rPr>
        <w:t>B épület főbb paraméterei: </w:t>
      </w:r>
    </w:p>
    <w:p w14:paraId="13B2A7C2" w14:textId="77777777" w:rsidR="006A718C" w:rsidRPr="006A718C" w:rsidRDefault="006A718C" w:rsidP="00540740">
      <w:pPr>
        <w:numPr>
          <w:ilvl w:val="0"/>
          <w:numId w:val="18"/>
        </w:numPr>
        <w:spacing w:after="0"/>
        <w:ind w:left="714" w:hanging="357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Alapterület: 3 060 m² </w:t>
      </w:r>
    </w:p>
    <w:p w14:paraId="47DA68A3" w14:textId="77777777" w:rsidR="006A718C" w:rsidRPr="006A718C" w:rsidRDefault="006A718C" w:rsidP="00540740">
      <w:pPr>
        <w:numPr>
          <w:ilvl w:val="0"/>
          <w:numId w:val="18"/>
        </w:numPr>
        <w:spacing w:after="0"/>
        <w:ind w:left="714" w:hanging="357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lastRenderedPageBreak/>
        <w:t>94 parkolóhely </w:t>
      </w:r>
    </w:p>
    <w:p w14:paraId="20ED00AB" w14:textId="77777777" w:rsidR="006A718C" w:rsidRDefault="006A718C" w:rsidP="00540740">
      <w:pPr>
        <w:numPr>
          <w:ilvl w:val="0"/>
          <w:numId w:val="18"/>
        </w:numPr>
        <w:spacing w:after="0"/>
        <w:ind w:left="714" w:hanging="357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50 kerékpár tároló </w:t>
      </w:r>
    </w:p>
    <w:p w14:paraId="3F3F7697" w14:textId="77777777" w:rsidR="000D223D" w:rsidRDefault="000D223D" w:rsidP="000D223D">
      <w:pPr>
        <w:spacing w:after="0"/>
        <w:jc w:val="both"/>
        <w:textAlignment w:val="baseline"/>
        <w:rPr>
          <w:rFonts w:cs="Segoe UI"/>
          <w:szCs w:val="22"/>
        </w:rPr>
      </w:pPr>
    </w:p>
    <w:p w14:paraId="00B549DD" w14:textId="77777777" w:rsidR="000D223D" w:rsidRPr="006A718C" w:rsidRDefault="000D223D" w:rsidP="000D223D">
      <w:pPr>
        <w:pStyle w:val="Cmsor2"/>
      </w:pPr>
      <w:r>
        <w:t xml:space="preserve">C épület </w:t>
      </w:r>
    </w:p>
    <w:p w14:paraId="45DF4FF1" w14:textId="77777777" w:rsidR="006A718C" w:rsidRPr="006A718C" w:rsidRDefault="006A718C" w:rsidP="006A718C">
      <w:pPr>
        <w:spacing w:after="0" w:line="240" w:lineRule="auto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A718C">
        <w:rPr>
          <w:rFonts w:cs="Segoe UI"/>
          <w:szCs w:val="22"/>
        </w:rPr>
        <w:t> </w:t>
      </w:r>
    </w:p>
    <w:p w14:paraId="230AB449" w14:textId="77777777" w:rsidR="006A718C" w:rsidRDefault="006A718C" w:rsidP="00540740">
      <w:pPr>
        <w:spacing w:after="0"/>
        <w:jc w:val="both"/>
        <w:textAlignment w:val="baseline"/>
        <w:rPr>
          <w:rFonts w:cs="Segoe UI"/>
          <w:szCs w:val="22"/>
        </w:rPr>
      </w:pPr>
      <w:r w:rsidRPr="006A718C">
        <w:rPr>
          <w:rFonts w:cs="Segoe UI"/>
          <w:szCs w:val="22"/>
        </w:rPr>
        <w:t>A C épület</w:t>
      </w:r>
      <w:r w:rsidR="00E2267D">
        <w:rPr>
          <w:rFonts w:cs="Segoe UI"/>
          <w:szCs w:val="22"/>
        </w:rPr>
        <w:t xml:space="preserve"> </w:t>
      </w:r>
      <w:r w:rsidRPr="006A718C">
        <w:rPr>
          <w:rFonts w:cs="Segoe UI"/>
          <w:szCs w:val="22"/>
        </w:rPr>
        <w:t xml:space="preserve">a </w:t>
      </w:r>
      <w:r w:rsidRPr="006A718C">
        <w:rPr>
          <w:rFonts w:cs="Segoe UI"/>
          <w:b/>
          <w:bCs/>
          <w:szCs w:val="22"/>
        </w:rPr>
        <w:t>Látogatóközpont,</w:t>
      </w:r>
      <w:r w:rsidR="00E2267D">
        <w:rPr>
          <w:rFonts w:cs="Segoe UI"/>
          <w:szCs w:val="22"/>
        </w:rPr>
        <w:t xml:space="preserve"> </w:t>
      </w:r>
      <w:r w:rsidRPr="006A718C">
        <w:rPr>
          <w:rFonts w:cs="Segoe UI"/>
          <w:szCs w:val="22"/>
        </w:rPr>
        <w:t>az egykori zsinagóga,</w:t>
      </w:r>
      <w:r w:rsidR="00E2267D">
        <w:rPr>
          <w:rFonts w:cs="Segoe UI"/>
          <w:szCs w:val="22"/>
        </w:rPr>
        <w:t xml:space="preserve"> </w:t>
      </w:r>
      <w:r w:rsidRPr="006A718C">
        <w:rPr>
          <w:rFonts w:cs="Segoe UI"/>
          <w:szCs w:val="22"/>
        </w:rPr>
        <w:t>mely földszintes, javarészt lapostetős épület. Az eredeti épület szerinti bejáratokat megtartották, helyreállították, így a fő közlekedés irány a park felől, a délnyugati oldalon a parkolóház irányából történhet. </w:t>
      </w:r>
    </w:p>
    <w:p w14:paraId="6CB30A64" w14:textId="77777777" w:rsidR="00540740" w:rsidRPr="006A718C" w:rsidRDefault="00540740" w:rsidP="006A718C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BA28F2C" w14:textId="77777777" w:rsidR="006A718C" w:rsidRPr="006A718C" w:rsidRDefault="006A718C" w:rsidP="00540740">
      <w:pPr>
        <w:spacing w:after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A718C">
        <w:rPr>
          <w:rFonts w:cs="Segoe UI"/>
          <w:szCs w:val="22"/>
        </w:rPr>
        <w:t>C épület főbb paraméterei:</w:t>
      </w:r>
    </w:p>
    <w:p w14:paraId="165B53BE" w14:textId="77777777" w:rsidR="006A718C" w:rsidRPr="006A718C" w:rsidRDefault="006A718C" w:rsidP="00540740">
      <w:pPr>
        <w:numPr>
          <w:ilvl w:val="0"/>
          <w:numId w:val="19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Alapterület: 628 m² </w:t>
      </w:r>
    </w:p>
    <w:p w14:paraId="48A861CF" w14:textId="77777777" w:rsidR="006A718C" w:rsidRPr="006A718C" w:rsidRDefault="006A718C" w:rsidP="00540740">
      <w:pPr>
        <w:numPr>
          <w:ilvl w:val="0"/>
          <w:numId w:val="19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80 fős konferenciaterem </w:t>
      </w:r>
    </w:p>
    <w:p w14:paraId="7EBD2E78" w14:textId="77777777" w:rsidR="006A718C" w:rsidRPr="006A718C" w:rsidRDefault="006A718C" w:rsidP="00540740">
      <w:pPr>
        <w:numPr>
          <w:ilvl w:val="0"/>
          <w:numId w:val="19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Étterem </w:t>
      </w:r>
    </w:p>
    <w:p w14:paraId="3AAC9D7E" w14:textId="77777777" w:rsidR="006A718C" w:rsidRDefault="006A718C" w:rsidP="00540740">
      <w:pPr>
        <w:numPr>
          <w:ilvl w:val="0"/>
          <w:numId w:val="19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Többfunkciós rendezvénytér </w:t>
      </w:r>
    </w:p>
    <w:p w14:paraId="0B22B3D5" w14:textId="77777777" w:rsidR="000D223D" w:rsidRDefault="000D223D" w:rsidP="000D223D">
      <w:pPr>
        <w:spacing w:after="0"/>
        <w:ind w:left="1080"/>
        <w:jc w:val="both"/>
        <w:textAlignment w:val="baseline"/>
        <w:rPr>
          <w:rFonts w:cs="Segoe UI"/>
          <w:szCs w:val="22"/>
        </w:rPr>
      </w:pPr>
    </w:p>
    <w:p w14:paraId="4D59A9AD" w14:textId="77777777" w:rsidR="000D223D" w:rsidRPr="006A718C" w:rsidRDefault="000D223D" w:rsidP="000D223D">
      <w:pPr>
        <w:pStyle w:val="Cmsor2"/>
      </w:pPr>
      <w:r>
        <w:t>D épület</w:t>
      </w:r>
    </w:p>
    <w:p w14:paraId="03CF2DA4" w14:textId="77777777" w:rsidR="006A718C" w:rsidRPr="006A718C" w:rsidRDefault="006A718C" w:rsidP="006A718C">
      <w:pPr>
        <w:spacing w:after="0" w:line="240" w:lineRule="auto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A718C">
        <w:rPr>
          <w:rFonts w:cs="Segoe UI"/>
          <w:szCs w:val="22"/>
        </w:rPr>
        <w:t> </w:t>
      </w:r>
    </w:p>
    <w:p w14:paraId="3E168D3F" w14:textId="77777777" w:rsidR="006A718C" w:rsidRDefault="006A718C" w:rsidP="00540740">
      <w:pPr>
        <w:spacing w:after="0"/>
        <w:jc w:val="both"/>
        <w:textAlignment w:val="baseline"/>
        <w:rPr>
          <w:rFonts w:cs="Segoe UI"/>
          <w:szCs w:val="22"/>
        </w:rPr>
      </w:pPr>
      <w:r w:rsidRPr="006A718C">
        <w:rPr>
          <w:rFonts w:cs="Segoe UI"/>
          <w:szCs w:val="22"/>
        </w:rPr>
        <w:t xml:space="preserve">A D épület a </w:t>
      </w:r>
      <w:r w:rsidRPr="006A718C">
        <w:rPr>
          <w:rFonts w:cs="Segoe UI"/>
          <w:b/>
          <w:bCs/>
          <w:szCs w:val="22"/>
        </w:rPr>
        <w:t>Közép-Európai Művészettörténeti Kutatóintézet</w:t>
      </w:r>
      <w:r w:rsidRPr="006A718C">
        <w:rPr>
          <w:rFonts w:cs="Segoe UI"/>
          <w:szCs w:val="22"/>
        </w:rPr>
        <w:t xml:space="preserve"> (KEMKI), az egykori kórház. Az új épület alagsor, földszint, emelet és padlástér összetételű. Az épület új főbejáratot kap</w:t>
      </w:r>
      <w:r w:rsidR="00540740">
        <w:rPr>
          <w:rFonts w:cs="Segoe UI"/>
          <w:szCs w:val="22"/>
        </w:rPr>
        <w:t>ott</w:t>
      </w:r>
      <w:r w:rsidRPr="006A718C">
        <w:rPr>
          <w:rFonts w:cs="Segoe UI"/>
          <w:szCs w:val="22"/>
        </w:rPr>
        <w:t>, mely egyben a garázs egyik lépcsőházát is magában foglalja.  </w:t>
      </w:r>
    </w:p>
    <w:p w14:paraId="02358B39" w14:textId="77777777" w:rsidR="00540740" w:rsidRPr="006A718C" w:rsidRDefault="00540740" w:rsidP="006A718C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B2ABB4F" w14:textId="77777777" w:rsidR="006A718C" w:rsidRPr="006A718C" w:rsidRDefault="006A718C" w:rsidP="00540740">
      <w:pPr>
        <w:spacing w:after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A718C">
        <w:rPr>
          <w:rFonts w:cs="Segoe UI"/>
          <w:szCs w:val="22"/>
        </w:rPr>
        <w:t>D épület főbb paraméterei: </w:t>
      </w:r>
    </w:p>
    <w:p w14:paraId="1160A8FC" w14:textId="77777777" w:rsidR="006A718C" w:rsidRPr="006A718C" w:rsidRDefault="006A718C" w:rsidP="00540740">
      <w:pPr>
        <w:numPr>
          <w:ilvl w:val="0"/>
          <w:numId w:val="20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Alapterület: 3 020 m² </w:t>
      </w:r>
    </w:p>
    <w:p w14:paraId="443F8983" w14:textId="77777777" w:rsidR="006A718C" w:rsidRPr="006A718C" w:rsidRDefault="006A718C" w:rsidP="00540740">
      <w:pPr>
        <w:numPr>
          <w:ilvl w:val="0"/>
          <w:numId w:val="20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86 kutatóhely </w:t>
      </w:r>
    </w:p>
    <w:p w14:paraId="548B48BF" w14:textId="77777777" w:rsidR="006A718C" w:rsidRPr="006A718C" w:rsidRDefault="006A718C" w:rsidP="00540740">
      <w:pPr>
        <w:numPr>
          <w:ilvl w:val="0"/>
          <w:numId w:val="20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75 munkahely </w:t>
      </w:r>
    </w:p>
    <w:p w14:paraId="7E729F46" w14:textId="77777777" w:rsidR="006A718C" w:rsidRPr="006A718C" w:rsidRDefault="006A718C" w:rsidP="00540740">
      <w:pPr>
        <w:numPr>
          <w:ilvl w:val="0"/>
          <w:numId w:val="20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785 m² kutatóiroda </w:t>
      </w:r>
    </w:p>
    <w:p w14:paraId="0E55431C" w14:textId="77777777" w:rsidR="006A718C" w:rsidRPr="006A718C" w:rsidRDefault="006A718C" w:rsidP="00540740">
      <w:pPr>
        <w:numPr>
          <w:ilvl w:val="0"/>
          <w:numId w:val="20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730 m² irattár </w:t>
      </w:r>
    </w:p>
    <w:p w14:paraId="77FC3441" w14:textId="77777777" w:rsidR="006A718C" w:rsidRPr="00540740" w:rsidRDefault="006A718C" w:rsidP="00540740">
      <w:pPr>
        <w:spacing w:after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A718C">
        <w:rPr>
          <w:rFonts w:cs="Segoe UI"/>
          <w:szCs w:val="22"/>
        </w:rPr>
        <w:t> </w:t>
      </w:r>
      <w:r w:rsidRPr="00540740">
        <w:rPr>
          <w:rFonts w:cs="Segoe UI"/>
          <w:szCs w:val="22"/>
        </w:rPr>
        <w:t>KEMKI </w:t>
      </w:r>
    </w:p>
    <w:p w14:paraId="216D8C77" w14:textId="77777777" w:rsidR="006A718C" w:rsidRPr="006A718C" w:rsidRDefault="006A718C" w:rsidP="00540740">
      <w:pPr>
        <w:numPr>
          <w:ilvl w:val="0"/>
          <w:numId w:val="21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1,5 millió db művészettörténeti dokumentum </w:t>
      </w:r>
    </w:p>
    <w:p w14:paraId="02B2659C" w14:textId="77777777" w:rsidR="006A718C" w:rsidRPr="006A718C" w:rsidRDefault="006A718C" w:rsidP="00540740">
      <w:pPr>
        <w:numPr>
          <w:ilvl w:val="0"/>
          <w:numId w:val="21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3 500 iratfolyóméter  </w:t>
      </w:r>
    </w:p>
    <w:p w14:paraId="10F0C3E1" w14:textId="77777777" w:rsidR="00540740" w:rsidRPr="006A718C" w:rsidRDefault="00540740" w:rsidP="00540740">
      <w:pPr>
        <w:spacing w:after="0" w:line="240" w:lineRule="auto"/>
        <w:ind w:left="360"/>
        <w:jc w:val="both"/>
        <w:textAlignment w:val="baseline"/>
        <w:rPr>
          <w:rFonts w:cs="Segoe UI"/>
          <w:szCs w:val="22"/>
        </w:rPr>
      </w:pPr>
    </w:p>
    <w:p w14:paraId="7F9736AD" w14:textId="77777777" w:rsidR="006A718C" w:rsidRPr="006A718C" w:rsidRDefault="006A718C" w:rsidP="00540740">
      <w:pPr>
        <w:spacing w:after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A718C">
        <w:rPr>
          <w:rFonts w:cs="Segoe UI"/>
          <w:szCs w:val="22"/>
        </w:rPr>
        <w:t>ARTPOOL Művészetkutató Központ </w:t>
      </w:r>
    </w:p>
    <w:p w14:paraId="67197492" w14:textId="77777777" w:rsidR="006A718C" w:rsidRPr="006A718C" w:rsidRDefault="006A718C" w:rsidP="00540740">
      <w:pPr>
        <w:numPr>
          <w:ilvl w:val="0"/>
          <w:numId w:val="22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650 iratfolyóméter </w:t>
      </w:r>
    </w:p>
    <w:p w14:paraId="5699EA44" w14:textId="77777777" w:rsidR="006A718C" w:rsidRPr="006A718C" w:rsidRDefault="006A718C" w:rsidP="00540740">
      <w:pPr>
        <w:numPr>
          <w:ilvl w:val="0"/>
          <w:numId w:val="22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2 300 óra digitalizált audiovizuális anyag </w:t>
      </w:r>
    </w:p>
    <w:p w14:paraId="69BD1BC0" w14:textId="77777777" w:rsidR="000D223D" w:rsidRDefault="006A718C" w:rsidP="000D223D">
      <w:pPr>
        <w:numPr>
          <w:ilvl w:val="0"/>
          <w:numId w:val="22"/>
        </w:numPr>
        <w:spacing w:after="0"/>
        <w:jc w:val="both"/>
        <w:textAlignment w:val="baseline"/>
        <w:rPr>
          <w:rFonts w:cs="Segoe UI"/>
          <w:szCs w:val="22"/>
        </w:rPr>
      </w:pPr>
      <w:r w:rsidRPr="579A2198">
        <w:rPr>
          <w:rFonts w:cs="Segoe UI"/>
        </w:rPr>
        <w:t>7 500 művész, művészcsoport </w:t>
      </w:r>
    </w:p>
    <w:p w14:paraId="16DE87EB" w14:textId="77777777" w:rsidR="000D223D" w:rsidRDefault="000D223D" w:rsidP="000D223D">
      <w:pPr>
        <w:spacing w:after="0"/>
        <w:ind w:left="720"/>
        <w:jc w:val="both"/>
        <w:textAlignment w:val="baseline"/>
        <w:rPr>
          <w:rFonts w:cs="Segoe UI"/>
          <w:szCs w:val="22"/>
        </w:rPr>
      </w:pPr>
    </w:p>
    <w:p w14:paraId="7210FCD0" w14:textId="77777777" w:rsidR="006A718C" w:rsidRPr="000D223D" w:rsidRDefault="000D223D" w:rsidP="000D223D">
      <w:pPr>
        <w:pStyle w:val="Cmsor2"/>
      </w:pPr>
      <w:r w:rsidRPr="000D223D">
        <w:lastRenderedPageBreak/>
        <w:t>E épület</w:t>
      </w:r>
    </w:p>
    <w:p w14:paraId="10BFAB7B" w14:textId="77777777" w:rsidR="006A718C" w:rsidRPr="006A718C" w:rsidRDefault="006A718C" w:rsidP="00E754AC">
      <w:pPr>
        <w:spacing w:after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A718C">
        <w:rPr>
          <w:rFonts w:cs="Segoe UI"/>
          <w:szCs w:val="22"/>
        </w:rPr>
        <w:t>Az</w:t>
      </w:r>
      <w:r w:rsidR="0073668B">
        <w:rPr>
          <w:rFonts w:cs="Segoe UI"/>
          <w:szCs w:val="22"/>
        </w:rPr>
        <w:t xml:space="preserve"> </w:t>
      </w:r>
      <w:r w:rsidRPr="006A718C">
        <w:rPr>
          <w:rFonts w:cs="Segoe UI"/>
          <w:szCs w:val="22"/>
        </w:rPr>
        <w:t>E épület,</w:t>
      </w:r>
      <w:r w:rsidR="0073668B">
        <w:rPr>
          <w:rFonts w:cs="Segoe UI"/>
          <w:szCs w:val="22"/>
        </w:rPr>
        <w:t xml:space="preserve"> </w:t>
      </w:r>
      <w:r w:rsidRPr="006A718C">
        <w:rPr>
          <w:rFonts w:cs="Segoe UI"/>
          <w:szCs w:val="22"/>
        </w:rPr>
        <w:t>az</w:t>
      </w:r>
      <w:r w:rsidR="0073668B">
        <w:rPr>
          <w:rFonts w:cs="Segoe UI"/>
          <w:szCs w:val="22"/>
        </w:rPr>
        <w:t xml:space="preserve"> </w:t>
      </w:r>
      <w:r w:rsidRPr="006A718C">
        <w:rPr>
          <w:rFonts w:cs="Segoe UI"/>
          <w:b/>
          <w:bCs/>
          <w:szCs w:val="22"/>
        </w:rPr>
        <w:t>Elektromos</w:t>
      </w:r>
      <w:r w:rsidR="0073668B">
        <w:rPr>
          <w:rFonts w:cs="Segoe UI"/>
          <w:b/>
          <w:bCs/>
          <w:szCs w:val="22"/>
        </w:rPr>
        <w:t xml:space="preserve"> </w:t>
      </w:r>
      <w:r w:rsidRPr="006A718C">
        <w:rPr>
          <w:rFonts w:cs="Segoe UI"/>
          <w:b/>
          <w:bCs/>
          <w:szCs w:val="22"/>
        </w:rPr>
        <w:t>fogadó- és kertészház</w:t>
      </w:r>
      <w:r w:rsidRPr="006A718C">
        <w:rPr>
          <w:rFonts w:cs="Segoe UI"/>
          <w:szCs w:val="22"/>
        </w:rPr>
        <w:t xml:space="preserve"> a jó karban lévő egykori 22-es, gázfogadó épület átalakítása, felújítása után trafóházként működik.</w:t>
      </w:r>
    </w:p>
    <w:p w14:paraId="24224129" w14:textId="77777777" w:rsidR="0080301F" w:rsidRDefault="0080301F" w:rsidP="00514B46">
      <w:pPr>
        <w:pStyle w:val="Cmsor1"/>
      </w:pPr>
      <w:r w:rsidRPr="002A2388">
        <w:t xml:space="preserve">Innovatív műszaki és környezettudatos megoldások. </w:t>
      </w:r>
    </w:p>
    <w:p w14:paraId="512A9391" w14:textId="77777777" w:rsidR="00C111CB" w:rsidRPr="00C111CB" w:rsidRDefault="00800381" w:rsidP="00C111CB">
      <w:pPr>
        <w:jc w:val="both"/>
      </w:pPr>
      <w:r>
        <w:t>Az energiatakarékossági koncepció kidolgozása során a tervezők arra törekedtek, hogy a létesítmény a lehető legkevesebb fosszilis és elektromos energiát vegye ki a települési közműhálózatból. Ezzel az innovatív megoldással nemcsak az üzemeltetés költségei, hanem a környezetterhelés is csökkenthetővé vált. Az A épületben geotermikus energiával megtáplált légtechnikai rendszerek és VRV rendszerek látják el a felmerülő fűtési-hűtési igényeket. Az épület alapvető téli fűtési és nyári hűtési igényét geotermikus talajszondás hőszivattyús rendszerrel látták el, kihasználva a talaj közel állandó hőmérsékletéből nyerhető megújuló energiákat.</w:t>
      </w:r>
      <w:r w:rsidR="00C111CB">
        <w:t xml:space="preserve"> Azoknál a rendszereknél ahol talajszondás hőszivattyús rendszer alkalmazása nem jöhetett szóba, levegős hőszivattyús (</w:t>
      </w:r>
      <w:proofErr w:type="gramStart"/>
      <w:r w:rsidR="00C111CB">
        <w:t>VRF)  rendszereket</w:t>
      </w:r>
      <w:proofErr w:type="gramEnd"/>
      <w:r w:rsidR="00C111CB">
        <w:t xml:space="preserve"> terveztünk, amelyekben az </w:t>
      </w:r>
      <w:proofErr w:type="spellStart"/>
      <w:r w:rsidR="00C111CB">
        <w:t>inverteres</w:t>
      </w:r>
      <w:proofErr w:type="spellEnd"/>
      <w:r w:rsidR="00C111CB">
        <w:t xml:space="preserve"> (frekvenciaváltós) kompresszorok úgy vannak optimalizálva, hogy részterhelés esetén legyen a leggazdaságosabb a működésük. </w:t>
      </w:r>
    </w:p>
    <w:p w14:paraId="06CA379D" w14:textId="00120790" w:rsidR="122EE247" w:rsidRDefault="122EE247" w:rsidP="579A2198">
      <w:pPr>
        <w:jc w:val="both"/>
      </w:pPr>
      <w:r>
        <w:t>A tervezés és kivitelezés sikerességét mutatja, hogy a</w:t>
      </w:r>
      <w:r w:rsidRPr="579A2198">
        <w:rPr>
          <w:rFonts w:ascii="Source Sans Pro" w:eastAsia="Source Sans Pro" w:hAnsi="Source Sans Pro" w:cs="Source Sans Pro"/>
          <w:b/>
          <w:bCs/>
          <w:color w:val="000000" w:themeColor="text1"/>
          <w:sz w:val="24"/>
        </w:rPr>
        <w:t xml:space="preserve"> </w:t>
      </w:r>
      <w:r w:rsidRPr="579A2198">
        <w:t xml:space="preserve">ház elnyerte a legfontosabb nemzetközi épületminősítési rendszer, </w:t>
      </w:r>
      <w:hyperlink r:id="rId12">
        <w:r w:rsidRPr="579A2198">
          <w:rPr>
            <w:rStyle w:val="Hiperhivatkozs"/>
          </w:rPr>
          <w:t>a BREEAM minősítését.</w:t>
        </w:r>
      </w:hyperlink>
      <w:bookmarkStart w:id="1" w:name="_GoBack"/>
      <w:bookmarkEnd w:id="1"/>
    </w:p>
    <w:p w14:paraId="696BFB10" w14:textId="77777777" w:rsidR="0080301F" w:rsidRDefault="0080301F" w:rsidP="004C64E1">
      <w:pPr>
        <w:pStyle w:val="Cmsor1"/>
      </w:pPr>
      <w:r w:rsidRPr="002A2388">
        <w:t>A kivitelezés kezdete és befejezése</w:t>
      </w:r>
    </w:p>
    <w:p w14:paraId="3DDD34C6" w14:textId="3CC43ABA" w:rsidR="004E2BFB" w:rsidRPr="004E2BFB" w:rsidRDefault="004E2BFB" w:rsidP="004E2BFB">
      <w:pPr>
        <w:spacing w:after="0"/>
      </w:pPr>
      <w:r>
        <w:t>Kivitelezés kezdete: 2016. május 9.</w:t>
      </w:r>
    </w:p>
    <w:p w14:paraId="6A3E7528" w14:textId="7C1793AF" w:rsidR="004E2BFB" w:rsidRDefault="004E2BFB" w:rsidP="004E2BFB">
      <w:pPr>
        <w:spacing w:after="0"/>
      </w:pPr>
      <w:r>
        <w:t>Kivitelezés befejezése: 2020. május 31.</w:t>
      </w:r>
    </w:p>
    <w:p w14:paraId="2F89A99F" w14:textId="77777777" w:rsidR="00642D46" w:rsidRPr="004E2BFB" w:rsidRDefault="00642D46" w:rsidP="004E2BFB">
      <w:pPr>
        <w:spacing w:after="0"/>
      </w:pPr>
    </w:p>
    <w:p w14:paraId="7A23002B" w14:textId="6481D342" w:rsidR="0080301F" w:rsidRDefault="0080301F" w:rsidP="004C64E1">
      <w:pPr>
        <w:pStyle w:val="Cmsor1"/>
      </w:pPr>
      <w:r w:rsidRPr="002A2388">
        <w:t xml:space="preserve">A fejlesztés finanszírozása és értékesítése, bérbeadása </w:t>
      </w:r>
    </w:p>
    <w:p w14:paraId="639286D5" w14:textId="1221EE5A" w:rsidR="004E2BFB" w:rsidRDefault="00642D46" w:rsidP="00642D46">
      <w:pPr>
        <w:jc w:val="both"/>
        <w:rPr>
          <w:rStyle w:val="normaltextrun"/>
          <w:color w:val="000000"/>
          <w:szCs w:val="22"/>
          <w:shd w:val="clear" w:color="auto" w:fill="FFFFFF"/>
        </w:rPr>
      </w:pPr>
      <w:r>
        <w:t xml:space="preserve">Az épületegyüttes kialakítása 2016 és 2020 között örökségvédelmi szempontok figyelembevételével valósult meg. </w:t>
      </w:r>
      <w:r w:rsidRPr="00923039">
        <w:rPr>
          <w:rStyle w:val="normaltextrun"/>
          <w:color w:val="000000"/>
          <w:szCs w:val="22"/>
          <w:shd w:val="clear" w:color="auto" w:fill="FFFFFF"/>
        </w:rPr>
        <w:t xml:space="preserve">A </w:t>
      </w:r>
      <w:r>
        <w:rPr>
          <w:rStyle w:val="normaltextrun"/>
          <w:color w:val="000000"/>
          <w:szCs w:val="22"/>
          <w:shd w:val="clear" w:color="auto" w:fill="FFFFFF"/>
        </w:rPr>
        <w:t xml:space="preserve">fejlesztés </w:t>
      </w:r>
      <w:r w:rsidRPr="00923039">
        <w:rPr>
          <w:rStyle w:val="normaltextrun"/>
          <w:color w:val="000000"/>
          <w:szCs w:val="22"/>
          <w:shd w:val="clear" w:color="auto" w:fill="FFFFFF"/>
        </w:rPr>
        <w:t>a</w:t>
      </w:r>
      <w:r>
        <w:rPr>
          <w:rStyle w:val="normaltextrun"/>
          <w:color w:val="000000"/>
          <w:szCs w:val="22"/>
          <w:shd w:val="clear" w:color="auto" w:fill="FFFFFF"/>
        </w:rPr>
        <w:t xml:space="preserve"> rendeltetéshez illően a</w:t>
      </w:r>
      <w:r w:rsidRPr="00923039">
        <w:rPr>
          <w:rStyle w:val="normaltextrun"/>
          <w:color w:val="000000"/>
          <w:szCs w:val="22"/>
          <w:shd w:val="clear" w:color="auto" w:fill="FFFFFF"/>
        </w:rPr>
        <w:t xml:space="preserve"> régi és új épületek összhangjára törek</w:t>
      </w:r>
      <w:r>
        <w:rPr>
          <w:rStyle w:val="normaltextrun"/>
          <w:color w:val="000000"/>
          <w:szCs w:val="22"/>
          <w:shd w:val="clear" w:color="auto" w:fill="FFFFFF"/>
        </w:rPr>
        <w:t>edett.</w:t>
      </w:r>
    </w:p>
    <w:p w14:paraId="3AC1A413" w14:textId="3B1F4DF0" w:rsidR="001B7667" w:rsidRDefault="001B7667" w:rsidP="00642D46">
      <w:pPr>
        <w:jc w:val="both"/>
        <w:rPr>
          <w:rStyle w:val="normaltextrun"/>
          <w:color w:val="000000"/>
          <w:szCs w:val="22"/>
          <w:shd w:val="clear" w:color="auto" w:fill="FFFFFF"/>
        </w:rPr>
      </w:pPr>
      <w:r>
        <w:rPr>
          <w:rStyle w:val="normaltextrun"/>
          <w:color w:val="000000"/>
          <w:szCs w:val="22"/>
          <w:shd w:val="clear" w:color="auto" w:fill="FFFFFF"/>
        </w:rPr>
        <w:lastRenderedPageBreak/>
        <w:t xml:space="preserve">A fejlesztés teljes egészében állami költségvetésből valósult meg. </w:t>
      </w:r>
    </w:p>
    <w:p w14:paraId="33E838E0" w14:textId="2AB1070F" w:rsidR="001B7667" w:rsidRDefault="001B7667" w:rsidP="00642D46">
      <w:pPr>
        <w:jc w:val="both"/>
        <w:rPr>
          <w:rStyle w:val="normaltextrun"/>
          <w:color w:val="000000"/>
          <w:szCs w:val="22"/>
          <w:shd w:val="clear" w:color="auto" w:fill="FFFFFF"/>
        </w:rPr>
      </w:pPr>
      <w:r>
        <w:rPr>
          <w:rStyle w:val="normaltextrun"/>
          <w:color w:val="000000"/>
          <w:szCs w:val="22"/>
          <w:shd w:val="clear" w:color="auto" w:fill="FFFFFF"/>
        </w:rPr>
        <w:t xml:space="preserve">A kivitelezés befejeztével megkezdődött az intézmények beköltözése. A Restaurálási és Raktározási központba a Szépművészei Múzeum, Magyar Nemzeti Galéria és a Néprajzi Múzeum műtárgyai, illetve restaurátorai, múzeumszakmai kollegái költöztek. </w:t>
      </w:r>
    </w:p>
    <w:p w14:paraId="0E6C9533" w14:textId="77777777" w:rsidR="0080301F" w:rsidRDefault="0080301F" w:rsidP="004C64E1">
      <w:pPr>
        <w:pStyle w:val="Cmsor1"/>
      </w:pPr>
      <w:r w:rsidRPr="002A2388">
        <w:t>Hogyan szolgálja az ingatlanfejlesztés a szűkebb és tágabb környezetét, az életminőség javítását és a közösségi érdekeket.</w:t>
      </w:r>
    </w:p>
    <w:p w14:paraId="76A47687" w14:textId="77777777" w:rsidR="00191338" w:rsidRDefault="00191338" w:rsidP="00191338">
      <w:pPr>
        <w:jc w:val="both"/>
        <w:rPr>
          <w:color w:val="000000" w:themeColor="text1"/>
        </w:rPr>
      </w:pPr>
      <w:r w:rsidRPr="00CC1F5D">
        <w:rPr>
          <w:color w:val="000000" w:themeColor="text1"/>
        </w:rPr>
        <w:t>A fejlesztés a belváros közelében, a Városliget és a Fővárosi Állat és Növénykert szomszédságában, a mégis a városi csomópontok közelében létesült</w:t>
      </w:r>
      <w:r>
        <w:rPr>
          <w:color w:val="000000" w:themeColor="text1"/>
        </w:rPr>
        <w:t xml:space="preserve">. </w:t>
      </w:r>
      <w:r w:rsidRPr="00CC1F5D">
        <w:rPr>
          <w:color w:val="000000" w:themeColor="text1"/>
        </w:rPr>
        <w:t>A</w:t>
      </w:r>
      <w:r>
        <w:rPr>
          <w:color w:val="000000" w:themeColor="text1"/>
        </w:rPr>
        <w:t xml:space="preserve">z OMRRK </w:t>
      </w:r>
      <w:r w:rsidRPr="00191338">
        <w:rPr>
          <w:b/>
          <w:bCs/>
          <w:color w:val="000000" w:themeColor="text1"/>
        </w:rPr>
        <w:t>barnamezős beruházásként</w:t>
      </w:r>
      <w:r w:rsidRPr="00CC1F5D">
        <w:rPr>
          <w:color w:val="000000" w:themeColor="text1"/>
        </w:rPr>
        <w:t xml:space="preserve">, </w:t>
      </w:r>
      <w:r w:rsidRPr="00E87CEB">
        <w:t>a</w:t>
      </w:r>
      <w:r w:rsidRPr="00CC1F5D">
        <w:rPr>
          <w:color w:val="000000" w:themeColor="text1"/>
        </w:rPr>
        <w:t xml:space="preserve"> </w:t>
      </w:r>
      <w:r w:rsidRPr="00191338">
        <w:rPr>
          <w:b/>
          <w:bCs/>
          <w:color w:val="000000" w:themeColor="text1"/>
        </w:rPr>
        <w:t>terület további fejlesztésének katalizátoraként</w:t>
      </w:r>
      <w:r>
        <w:rPr>
          <w:color w:val="000000" w:themeColor="text1"/>
        </w:rPr>
        <w:t xml:space="preserve"> a</w:t>
      </w:r>
      <w:r w:rsidRPr="00E87CEB">
        <w:t xml:space="preserve"> 2007 óta nem üzemelő, egykori Szabolcs utcai Kórház és Orvostovábbképző Intézet területén valósult meg</w:t>
      </w:r>
      <w:r>
        <w:t xml:space="preserve">, </w:t>
      </w:r>
      <w:r w:rsidRPr="00CC1F5D">
        <w:rPr>
          <w:color w:val="000000" w:themeColor="text1"/>
        </w:rPr>
        <w:t xml:space="preserve">értékes épületegyüttes részleges </w:t>
      </w:r>
      <w:proofErr w:type="spellStart"/>
      <w:r w:rsidRPr="00CC1F5D">
        <w:rPr>
          <w:color w:val="000000" w:themeColor="text1"/>
        </w:rPr>
        <w:t>újrahasznosításával</w:t>
      </w:r>
      <w:proofErr w:type="spellEnd"/>
      <w:r w:rsidRPr="00CC1F5D">
        <w:rPr>
          <w:color w:val="000000" w:themeColor="text1"/>
        </w:rPr>
        <w:t xml:space="preserve"> és kiegészítésével, továbbá a jelentős </w:t>
      </w:r>
      <w:proofErr w:type="spellStart"/>
      <w:r w:rsidRPr="00CC1F5D">
        <w:rPr>
          <w:color w:val="000000" w:themeColor="text1"/>
        </w:rPr>
        <w:t>ősfás</w:t>
      </w:r>
      <w:proofErr w:type="spellEnd"/>
      <w:r w:rsidRPr="00CC1F5D">
        <w:rPr>
          <w:color w:val="000000" w:themeColor="text1"/>
        </w:rPr>
        <w:t xml:space="preserve"> vegetáció védelméve</w:t>
      </w:r>
      <w:r>
        <w:rPr>
          <w:color w:val="000000" w:themeColor="text1"/>
        </w:rPr>
        <w:t xml:space="preserve">l. </w:t>
      </w:r>
    </w:p>
    <w:p w14:paraId="1E64114E" w14:textId="77777777" w:rsidR="00285ED3" w:rsidRPr="00CC1F5D" w:rsidRDefault="00285ED3" w:rsidP="00285ED3">
      <w:pPr>
        <w:jc w:val="both"/>
      </w:pPr>
      <w:r w:rsidRPr="00CC1F5D">
        <w:t xml:space="preserve">Az intézménykomplexum köré egy, a nyitvatartási időben bárki által szabadon használható </w:t>
      </w:r>
      <w:r w:rsidRPr="00285ED3">
        <w:rPr>
          <w:b/>
          <w:bCs/>
        </w:rPr>
        <w:t>13.000 négyzetméteres park</w:t>
      </w:r>
      <w:r w:rsidRPr="00CC1F5D">
        <w:t>ot is kialakítottak</w:t>
      </w:r>
      <w:r>
        <w:t xml:space="preserve"> így az intézmény a</w:t>
      </w:r>
      <w:r w:rsidRPr="00CC1F5D">
        <w:t xml:space="preserve"> szakm</w:t>
      </w:r>
      <w:r>
        <w:t>ai és infrastrukturális háttér</w:t>
      </w:r>
      <w:r w:rsidRPr="00CC1F5D">
        <w:t xml:space="preserve"> </w:t>
      </w:r>
      <w:r>
        <w:t>biztosításán kívül</w:t>
      </w:r>
      <w:r w:rsidRPr="00CC1F5D">
        <w:t xml:space="preserve">, </w:t>
      </w:r>
      <w:r>
        <w:t>további új</w:t>
      </w:r>
      <w:r w:rsidRPr="00CC1F5D">
        <w:t xml:space="preserve"> zöldfelületek is </w:t>
      </w:r>
      <w:r>
        <w:t xml:space="preserve">kínál a környék lakói számára. </w:t>
      </w:r>
    </w:p>
    <w:p w14:paraId="7FF8A557" w14:textId="77777777" w:rsidR="0080301F" w:rsidRDefault="00191338" w:rsidP="00191338">
      <w:pPr>
        <w:autoSpaceDE w:val="0"/>
        <w:autoSpaceDN w:val="0"/>
        <w:adjustRightInd w:val="0"/>
        <w:spacing w:after="0"/>
        <w:jc w:val="both"/>
        <w:rPr>
          <w:color w:val="000000" w:themeColor="text1"/>
        </w:rPr>
      </w:pPr>
      <w:r w:rsidRPr="579A2198">
        <w:rPr>
          <w:color w:val="000000" w:themeColor="text1"/>
        </w:rPr>
        <w:t xml:space="preserve">Az OMRRK szakmai tevékenységéhez kapcsolódó rendezvényekre workshopokra, konferenciákra, előadásokra, oktatásra és kiállításokra az egykori zsinagóga épületéből kialakított </w:t>
      </w:r>
      <w:r w:rsidRPr="579A2198">
        <w:rPr>
          <w:b/>
          <w:bCs/>
          <w:color w:val="000000" w:themeColor="text1"/>
        </w:rPr>
        <w:t>Látogatóközpontban</w:t>
      </w:r>
      <w:r w:rsidRPr="579A2198">
        <w:rPr>
          <w:color w:val="000000" w:themeColor="text1"/>
        </w:rPr>
        <w:t xml:space="preserve"> kerül sor. Ehhez korszerű technikával felszerelt előadótermet és kiállítóteret alakítottak ki. Az előadóterem kb. 80 fő befogadására alkalmas, légkondicionált, elsötétíthető tér, nagyméretű, leereszthető vetítővászonnal, beépített nagyteljesítményű HD projektorral. Az OMRRK-ban folyó restaurálások és kutatási projektek eredményei időről-időre bemutatásra kerülnek szakmai és a nagyközönség számára. Ezek helyszínéül a Látogatóközpontban létrehozott kiállítótér szolgál.</w:t>
      </w:r>
    </w:p>
    <w:p w14:paraId="5B7A44E5" w14:textId="3F5958D1" w:rsidR="579A2198" w:rsidRDefault="579A2198" w:rsidP="579A2198">
      <w:pPr>
        <w:jc w:val="center"/>
        <w:rPr>
          <w:color w:val="000000" w:themeColor="text1"/>
        </w:rPr>
      </w:pPr>
      <w:r>
        <w:br w:type="page"/>
      </w:r>
      <w:r w:rsidR="0AEF7CCF" w:rsidRPr="579A2198">
        <w:rPr>
          <w:b/>
          <w:bCs/>
          <w:sz w:val="28"/>
          <w:szCs w:val="28"/>
        </w:rPr>
        <w:lastRenderedPageBreak/>
        <w:t>N</w:t>
      </w:r>
      <w:r w:rsidR="2EFB56A3" w:rsidRPr="579A2198">
        <w:rPr>
          <w:b/>
          <w:bCs/>
          <w:sz w:val="28"/>
          <w:szCs w:val="28"/>
        </w:rPr>
        <w:t>EMZETKÖZI MEGJELENÉSEK</w:t>
      </w:r>
    </w:p>
    <w:p w14:paraId="70CB2876" w14:textId="753E7610" w:rsidR="579A2198" w:rsidRDefault="579A2198" w:rsidP="579A2198">
      <w:pPr>
        <w:spacing w:after="0"/>
        <w:jc w:val="both"/>
        <w:rPr>
          <w:color w:val="000000" w:themeColor="text1"/>
        </w:rPr>
      </w:pPr>
    </w:p>
    <w:p w14:paraId="2446AE4A" w14:textId="28F7CAAA" w:rsidR="0AEF7CCF" w:rsidRDefault="000B72CC" w:rsidP="579A2198">
      <w:pPr>
        <w:pStyle w:val="Nincstrkz"/>
        <w:rPr>
          <w:rFonts w:ascii="Bookman Old Style" w:eastAsia="Bookman Old Style" w:hAnsi="Bookman Old Style" w:cs="Bookman Old Style"/>
        </w:rPr>
      </w:pPr>
      <w:hyperlink r:id="rId13"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OMRRK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wins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International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Property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Award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| The Budapest Times</w:t>
        </w:r>
      </w:hyperlink>
    </w:p>
    <w:p w14:paraId="739FA482" w14:textId="403F26D3" w:rsidR="0AEF7CCF" w:rsidRDefault="0AEF7CCF" w:rsidP="579A2198">
      <w:pPr>
        <w:pStyle w:val="Nincstrkz"/>
        <w:rPr>
          <w:rFonts w:ascii="Bookman Old Style" w:eastAsia="Bookman Old Style" w:hAnsi="Bookman Old Style" w:cs="Bookman Old Style"/>
        </w:rPr>
      </w:pPr>
      <w:r w:rsidRPr="579A2198">
        <w:rPr>
          <w:rFonts w:ascii="Bookman Old Style" w:eastAsia="Bookman Old Style" w:hAnsi="Bookman Old Style" w:cs="Bookman Old Style"/>
        </w:rPr>
        <w:t xml:space="preserve"> </w:t>
      </w:r>
    </w:p>
    <w:p w14:paraId="725A4D85" w14:textId="559BDAA6" w:rsidR="0AEF7CCF" w:rsidRDefault="000B72CC" w:rsidP="579A2198">
      <w:pPr>
        <w:pStyle w:val="Nincstrkz"/>
        <w:rPr>
          <w:rFonts w:ascii="Bookman Old Style" w:eastAsia="Bookman Old Style" w:hAnsi="Bookman Old Style" w:cs="Bookman Old Style"/>
        </w:rPr>
      </w:pPr>
      <w:hyperlink r:id="rId14"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National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Restoration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and Museum Storage Centre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opens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| PestBuda</w:t>
        </w:r>
      </w:hyperlink>
    </w:p>
    <w:p w14:paraId="721B5348" w14:textId="29DEA06C" w:rsidR="0AEF7CCF" w:rsidRDefault="0AEF7CCF" w:rsidP="579A2198">
      <w:pPr>
        <w:pStyle w:val="Nincstrkz"/>
        <w:rPr>
          <w:rFonts w:ascii="Bookman Old Style" w:eastAsia="Bookman Old Style" w:hAnsi="Bookman Old Style" w:cs="Bookman Old Style"/>
        </w:rPr>
      </w:pPr>
      <w:r w:rsidRPr="579A2198">
        <w:rPr>
          <w:rFonts w:ascii="Bookman Old Style" w:eastAsia="Bookman Old Style" w:hAnsi="Bookman Old Style" w:cs="Bookman Old Style"/>
        </w:rPr>
        <w:t xml:space="preserve"> </w:t>
      </w:r>
    </w:p>
    <w:p w14:paraId="7FDF9F4E" w14:textId="353BA297" w:rsidR="0AEF7CCF" w:rsidRDefault="000B72CC" w:rsidP="579A2198">
      <w:pPr>
        <w:pStyle w:val="Nincstrkz"/>
        <w:rPr>
          <w:rFonts w:ascii="Bookman Old Style" w:eastAsia="Bookman Old Style" w:hAnsi="Bookman Old Style" w:cs="Bookman Old Style"/>
        </w:rPr>
      </w:pPr>
      <w:hyperlink r:id="rId15"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National Museum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Restoration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and Storage Center OMRRK, Hungary – A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Swiss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pearl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for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the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world</w:t>
        </w:r>
        <w:proofErr w:type="spellEnd"/>
      </w:hyperlink>
    </w:p>
    <w:p w14:paraId="602C9A3A" w14:textId="77A0D213" w:rsidR="0AEF7CCF" w:rsidRDefault="0AEF7CCF" w:rsidP="579A2198">
      <w:pPr>
        <w:pStyle w:val="Nincstrkz"/>
        <w:rPr>
          <w:rFonts w:ascii="Bookman Old Style" w:eastAsia="Bookman Old Style" w:hAnsi="Bookman Old Style" w:cs="Bookman Old Style"/>
        </w:rPr>
      </w:pPr>
      <w:r w:rsidRPr="579A2198">
        <w:rPr>
          <w:rFonts w:ascii="Bookman Old Style" w:eastAsia="Bookman Old Style" w:hAnsi="Bookman Old Style" w:cs="Bookman Old Style"/>
        </w:rPr>
        <w:t xml:space="preserve"> </w:t>
      </w:r>
    </w:p>
    <w:p w14:paraId="26C5AB03" w14:textId="0F10EA5E" w:rsidR="0AEF7CCF" w:rsidRDefault="000B72CC" w:rsidP="579A2198">
      <w:pPr>
        <w:pStyle w:val="Nincstrkz"/>
        <w:rPr>
          <w:rFonts w:ascii="Bookman Old Style" w:eastAsia="Bookman Old Style" w:hAnsi="Bookman Old Style" w:cs="Bookman Old Style"/>
        </w:rPr>
      </w:pPr>
      <w:hyperlink r:id="rId16"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The National Museum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Restoration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and Storage Center is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now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operating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-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Hungarian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Insider</w:t>
        </w:r>
        <w:proofErr w:type="spellEnd"/>
      </w:hyperlink>
    </w:p>
    <w:p w14:paraId="4727A932" w14:textId="286CF8FE" w:rsidR="0AEF7CCF" w:rsidRDefault="0AEF7CCF" w:rsidP="579A2198">
      <w:pPr>
        <w:pStyle w:val="Nincstrkz"/>
        <w:rPr>
          <w:rFonts w:ascii="Bookman Old Style" w:eastAsia="Bookman Old Style" w:hAnsi="Bookman Old Style" w:cs="Bookman Old Style"/>
        </w:rPr>
      </w:pPr>
      <w:r w:rsidRPr="579A2198">
        <w:rPr>
          <w:rFonts w:ascii="Bookman Old Style" w:eastAsia="Bookman Old Style" w:hAnsi="Bookman Old Style" w:cs="Bookman Old Style"/>
        </w:rPr>
        <w:t xml:space="preserve"> </w:t>
      </w:r>
    </w:p>
    <w:p w14:paraId="007CB1CE" w14:textId="1AC701FD" w:rsidR="0AEF7CCF" w:rsidRDefault="000B72CC" w:rsidP="579A2198">
      <w:pPr>
        <w:pStyle w:val="Nincstrkz"/>
        <w:rPr>
          <w:rFonts w:ascii="Bookman Old Style" w:eastAsia="Bookman Old Style" w:hAnsi="Bookman Old Style" w:cs="Bookman Old Style"/>
        </w:rPr>
      </w:pPr>
      <w:hyperlink r:id="rId17"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Preserving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Budapest’s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famous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paintings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: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Inside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the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National Museum </w:t>
        </w:r>
        <w:proofErr w:type="spellStart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>Restoration</w:t>
        </w:r>
        <w:proofErr w:type="spellEnd"/>
        <w:r w:rsidR="0AEF7CCF" w:rsidRPr="579A2198">
          <w:rPr>
            <w:rStyle w:val="Hiperhivatkozs"/>
            <w:rFonts w:ascii="Bookman Old Style" w:eastAsia="Bookman Old Style" w:hAnsi="Bookman Old Style" w:cs="Bookman Old Style"/>
          </w:rPr>
          <w:t xml:space="preserve"> &amp; Storage Centre (welovebudapest.com)</w:t>
        </w:r>
      </w:hyperlink>
    </w:p>
    <w:p w14:paraId="3F315DE1" w14:textId="7F47D85F" w:rsidR="579A2198" w:rsidRDefault="579A2198" w:rsidP="579A2198">
      <w:pPr>
        <w:pStyle w:val="Nincstrkz"/>
      </w:pPr>
    </w:p>
    <w:p w14:paraId="071A376E" w14:textId="77777777" w:rsidR="00203735" w:rsidRDefault="00203735" w:rsidP="579A2198">
      <w:pPr>
        <w:pStyle w:val="Nincstrkz"/>
        <w:rPr>
          <w:rFonts w:ascii="Bookman Old Style" w:hAnsi="Bookman Old Style"/>
          <w:b/>
          <w:bCs/>
          <w:sz w:val="28"/>
          <w:szCs w:val="28"/>
        </w:rPr>
      </w:pPr>
    </w:p>
    <w:sectPr w:rsidR="00203735" w:rsidSect="005363F5">
      <w:headerReference w:type="default" r:id="rId18"/>
      <w:footerReference w:type="default" r:id="rId19"/>
      <w:footerReference w:type="first" r:id="rId2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3B5B1" w14:textId="77777777" w:rsidR="000B72CC" w:rsidRDefault="000B72CC">
      <w:pPr>
        <w:spacing w:after="0" w:line="240" w:lineRule="auto"/>
      </w:pPr>
      <w:r>
        <w:separator/>
      </w:r>
    </w:p>
  </w:endnote>
  <w:endnote w:type="continuationSeparator" w:id="0">
    <w:p w14:paraId="19A6B665" w14:textId="77777777" w:rsidR="000B72CC" w:rsidRDefault="000B7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323196"/>
      <w:docPartObj>
        <w:docPartGallery w:val="Page Numbers (Bottom of Page)"/>
        <w:docPartUnique/>
      </w:docPartObj>
    </w:sdtPr>
    <w:sdtEndPr/>
    <w:sdtContent>
      <w:p w14:paraId="3E5CDA33" w14:textId="27EE62BE" w:rsidR="005363F5" w:rsidRDefault="005363F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40ECE2" w14:textId="77777777" w:rsidR="005363F5" w:rsidRDefault="005363F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00EC8" w14:textId="4EE57DE2" w:rsidR="005363F5" w:rsidRDefault="005363F5">
    <w:pPr>
      <w:pStyle w:val="llb"/>
      <w:jc w:val="center"/>
    </w:pPr>
  </w:p>
  <w:p w14:paraId="2647D62C" w14:textId="77777777" w:rsidR="005363F5" w:rsidRDefault="005363F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59F11" w14:textId="77777777" w:rsidR="000B72CC" w:rsidRDefault="000B72CC">
      <w:pPr>
        <w:spacing w:after="0" w:line="240" w:lineRule="auto"/>
      </w:pPr>
      <w:r>
        <w:separator/>
      </w:r>
    </w:p>
  </w:footnote>
  <w:footnote w:type="continuationSeparator" w:id="0">
    <w:p w14:paraId="70781C47" w14:textId="77777777" w:rsidR="000B72CC" w:rsidRDefault="000B7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79A2198" w14:paraId="718656C4" w14:textId="77777777" w:rsidTr="579A2198">
      <w:tc>
        <w:tcPr>
          <w:tcW w:w="3020" w:type="dxa"/>
        </w:tcPr>
        <w:p w14:paraId="62255EC8" w14:textId="1EBC3E1B" w:rsidR="579A2198" w:rsidRDefault="579A2198" w:rsidP="579A2198">
          <w:pPr>
            <w:pStyle w:val="lfej"/>
            <w:ind w:left="-115"/>
          </w:pPr>
        </w:p>
      </w:tc>
      <w:tc>
        <w:tcPr>
          <w:tcW w:w="3020" w:type="dxa"/>
        </w:tcPr>
        <w:p w14:paraId="37034C19" w14:textId="2A9A4371" w:rsidR="579A2198" w:rsidRDefault="579A2198" w:rsidP="579A2198">
          <w:pPr>
            <w:pStyle w:val="lfej"/>
            <w:jc w:val="center"/>
          </w:pPr>
        </w:p>
      </w:tc>
      <w:tc>
        <w:tcPr>
          <w:tcW w:w="3020" w:type="dxa"/>
        </w:tcPr>
        <w:p w14:paraId="1A930EB2" w14:textId="64F9C82D" w:rsidR="579A2198" w:rsidRDefault="579A2198" w:rsidP="579A2198">
          <w:pPr>
            <w:pStyle w:val="lfej"/>
            <w:ind w:right="-115"/>
            <w:jc w:val="right"/>
          </w:pPr>
        </w:p>
      </w:tc>
    </w:tr>
  </w:tbl>
  <w:p w14:paraId="6D2C743F" w14:textId="07A936FA" w:rsidR="579A2198" w:rsidRDefault="579A2198" w:rsidP="579A219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70173"/>
    <w:multiLevelType w:val="multilevel"/>
    <w:tmpl w:val="7A0E02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1616F1"/>
    <w:multiLevelType w:val="hybridMultilevel"/>
    <w:tmpl w:val="AE30EDA8"/>
    <w:lvl w:ilvl="0" w:tplc="A9B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F1A9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3B6316"/>
    <w:multiLevelType w:val="multilevel"/>
    <w:tmpl w:val="2FBE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287FA2"/>
    <w:multiLevelType w:val="multilevel"/>
    <w:tmpl w:val="84649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FD2902"/>
    <w:multiLevelType w:val="hybridMultilevel"/>
    <w:tmpl w:val="FB3858A4"/>
    <w:lvl w:ilvl="0" w:tplc="98F20A0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2C16"/>
    <w:multiLevelType w:val="multilevel"/>
    <w:tmpl w:val="04D4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832ED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F66380"/>
    <w:multiLevelType w:val="hybridMultilevel"/>
    <w:tmpl w:val="8946D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C55E9"/>
    <w:multiLevelType w:val="hybridMultilevel"/>
    <w:tmpl w:val="452AE6A0"/>
    <w:lvl w:ilvl="0" w:tplc="A9B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95035"/>
    <w:multiLevelType w:val="multilevel"/>
    <w:tmpl w:val="60F879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8730BE"/>
    <w:multiLevelType w:val="hybridMultilevel"/>
    <w:tmpl w:val="3E4EC0BC"/>
    <w:lvl w:ilvl="0" w:tplc="A9BE7C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A50570"/>
    <w:multiLevelType w:val="multilevel"/>
    <w:tmpl w:val="AEC8C6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6F2942"/>
    <w:multiLevelType w:val="multilevel"/>
    <w:tmpl w:val="1EACF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BEA2804"/>
    <w:multiLevelType w:val="multilevel"/>
    <w:tmpl w:val="D2DA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D15535F"/>
    <w:multiLevelType w:val="hybridMultilevel"/>
    <w:tmpl w:val="5CDCBD8A"/>
    <w:lvl w:ilvl="0" w:tplc="A9BE7C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F1638E"/>
    <w:multiLevelType w:val="multilevel"/>
    <w:tmpl w:val="FC74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B6B50FB"/>
    <w:multiLevelType w:val="multilevel"/>
    <w:tmpl w:val="0914B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3BC6887"/>
    <w:multiLevelType w:val="hybridMultilevel"/>
    <w:tmpl w:val="5178CC5A"/>
    <w:lvl w:ilvl="0" w:tplc="E6B67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D7B3D"/>
    <w:multiLevelType w:val="multilevel"/>
    <w:tmpl w:val="588A16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F53D58"/>
    <w:multiLevelType w:val="multilevel"/>
    <w:tmpl w:val="46EE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3F170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C035C6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4"/>
  </w:num>
  <w:num w:numId="4">
    <w:abstractNumId w:val="10"/>
  </w:num>
  <w:num w:numId="5">
    <w:abstractNumId w:val="2"/>
  </w:num>
  <w:num w:numId="6">
    <w:abstractNumId w:val="7"/>
  </w:num>
  <w:num w:numId="7">
    <w:abstractNumId w:val="17"/>
  </w:num>
  <w:num w:numId="8">
    <w:abstractNumId w:val="12"/>
  </w:num>
  <w:num w:numId="9">
    <w:abstractNumId w:val="14"/>
  </w:num>
  <w:num w:numId="10">
    <w:abstractNumId w:val="22"/>
  </w:num>
  <w:num w:numId="11">
    <w:abstractNumId w:val="15"/>
  </w:num>
  <w:num w:numId="12">
    <w:abstractNumId w:val="6"/>
  </w:num>
  <w:num w:numId="13">
    <w:abstractNumId w:val="4"/>
  </w:num>
  <w:num w:numId="14">
    <w:abstractNumId w:val="3"/>
  </w:num>
  <w:num w:numId="15">
    <w:abstractNumId w:val="18"/>
  </w:num>
  <w:num w:numId="16">
    <w:abstractNumId w:val="19"/>
  </w:num>
  <w:num w:numId="17">
    <w:abstractNumId w:val="9"/>
  </w:num>
  <w:num w:numId="18">
    <w:abstractNumId w:val="0"/>
  </w:num>
  <w:num w:numId="19">
    <w:abstractNumId w:val="11"/>
  </w:num>
  <w:num w:numId="20">
    <w:abstractNumId w:val="16"/>
  </w:num>
  <w:num w:numId="21">
    <w:abstractNumId w:val="1"/>
  </w:num>
  <w:num w:numId="22">
    <w:abstractNumId w:val="20"/>
  </w:num>
  <w:num w:numId="23">
    <w:abstractNumId w:val="5"/>
  </w:num>
  <w:num w:numId="24">
    <w:abstractNumId w:val="25"/>
  </w:num>
  <w:num w:numId="25">
    <w:abstractNumId w:val="23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1F"/>
    <w:rsid w:val="0001296B"/>
    <w:rsid w:val="00026ADD"/>
    <w:rsid w:val="000B72CC"/>
    <w:rsid w:val="000D223D"/>
    <w:rsid w:val="001143A9"/>
    <w:rsid w:val="00191338"/>
    <w:rsid w:val="001B7667"/>
    <w:rsid w:val="00203735"/>
    <w:rsid w:val="002612B0"/>
    <w:rsid w:val="00265896"/>
    <w:rsid w:val="0028334A"/>
    <w:rsid w:val="00285ED3"/>
    <w:rsid w:val="002A2388"/>
    <w:rsid w:val="00400EFD"/>
    <w:rsid w:val="00496D37"/>
    <w:rsid w:val="004C64E1"/>
    <w:rsid w:val="004E2BFB"/>
    <w:rsid w:val="00502037"/>
    <w:rsid w:val="00514B46"/>
    <w:rsid w:val="005363F5"/>
    <w:rsid w:val="00540740"/>
    <w:rsid w:val="00605EBA"/>
    <w:rsid w:val="00642D46"/>
    <w:rsid w:val="00695A85"/>
    <w:rsid w:val="006A718C"/>
    <w:rsid w:val="006B7BEB"/>
    <w:rsid w:val="006C5A40"/>
    <w:rsid w:val="00727669"/>
    <w:rsid w:val="0073668B"/>
    <w:rsid w:val="00743A5E"/>
    <w:rsid w:val="00786DE4"/>
    <w:rsid w:val="00800381"/>
    <w:rsid w:val="0080301F"/>
    <w:rsid w:val="008130C6"/>
    <w:rsid w:val="008A7932"/>
    <w:rsid w:val="008C157E"/>
    <w:rsid w:val="00923039"/>
    <w:rsid w:val="00AE5005"/>
    <w:rsid w:val="00B35DA5"/>
    <w:rsid w:val="00B66DA4"/>
    <w:rsid w:val="00BA7E72"/>
    <w:rsid w:val="00BE6E3D"/>
    <w:rsid w:val="00C111CB"/>
    <w:rsid w:val="00C57ECD"/>
    <w:rsid w:val="00CD530C"/>
    <w:rsid w:val="00E2267D"/>
    <w:rsid w:val="00E27ABB"/>
    <w:rsid w:val="00E754AC"/>
    <w:rsid w:val="0406CC50"/>
    <w:rsid w:val="0646BB7B"/>
    <w:rsid w:val="085C057C"/>
    <w:rsid w:val="0AEF7CCF"/>
    <w:rsid w:val="122EE247"/>
    <w:rsid w:val="15489EE2"/>
    <w:rsid w:val="194BF2AB"/>
    <w:rsid w:val="2EFB56A3"/>
    <w:rsid w:val="33515441"/>
    <w:rsid w:val="37CB2F07"/>
    <w:rsid w:val="3B5317DA"/>
    <w:rsid w:val="3E1EB878"/>
    <w:rsid w:val="3F70FE63"/>
    <w:rsid w:val="45D6BFC5"/>
    <w:rsid w:val="4C000E3B"/>
    <w:rsid w:val="52C6B075"/>
    <w:rsid w:val="579A2198"/>
    <w:rsid w:val="5D09F4F8"/>
    <w:rsid w:val="65DB33DB"/>
    <w:rsid w:val="6A587338"/>
    <w:rsid w:val="76195DF4"/>
    <w:rsid w:val="7C5BD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739"/>
  <w15:chartTrackingRefBased/>
  <w15:docId w15:val="{91A39FDA-AEF0-46F6-96BB-30D035B5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8334A"/>
    <w:pPr>
      <w:spacing w:after="360" w:line="360" w:lineRule="auto"/>
    </w:pPr>
    <w:rPr>
      <w:rFonts w:ascii="Bookman Old Style" w:eastAsia="Times New Roman" w:hAnsi="Bookman Old Style" w:cs="Times New Roman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40740"/>
    <w:pPr>
      <w:keepNext/>
      <w:keepLines/>
      <w:numPr>
        <w:numId w:val="25"/>
      </w:numPr>
      <w:spacing w:before="24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40740"/>
    <w:pPr>
      <w:keepNext/>
      <w:keepLines/>
      <w:numPr>
        <w:ilvl w:val="1"/>
        <w:numId w:val="25"/>
      </w:numPr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D223D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D223D"/>
    <w:pPr>
      <w:keepNext/>
      <w:keepLines/>
      <w:numPr>
        <w:ilvl w:val="3"/>
        <w:numId w:val="2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D223D"/>
    <w:pPr>
      <w:keepNext/>
      <w:keepLines/>
      <w:numPr>
        <w:ilvl w:val="4"/>
        <w:numId w:val="2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00EFD"/>
    <w:pPr>
      <w:keepNext/>
      <w:keepLines/>
      <w:numPr>
        <w:ilvl w:val="5"/>
        <w:numId w:val="2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D223D"/>
    <w:pPr>
      <w:keepNext/>
      <w:keepLines/>
      <w:numPr>
        <w:ilvl w:val="6"/>
        <w:numId w:val="2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D223D"/>
    <w:pPr>
      <w:keepNext/>
      <w:keepLines/>
      <w:numPr>
        <w:ilvl w:val="7"/>
        <w:numId w:val="2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D223D"/>
    <w:pPr>
      <w:keepNext/>
      <w:keepLines/>
      <w:numPr>
        <w:ilvl w:val="8"/>
        <w:numId w:val="2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E6E3D"/>
    <w:rPr>
      <w:rFonts w:ascii="Bookman Old Style" w:eastAsiaTheme="majorEastAsia" w:hAnsi="Bookman Old Style" w:cstheme="majorBidi"/>
      <w:b/>
      <w:caps/>
      <w:sz w:val="28"/>
      <w:szCs w:val="32"/>
      <w:lang w:eastAsia="hu-HU"/>
    </w:rPr>
  </w:style>
  <w:style w:type="paragraph" w:customStyle="1" w:styleId="Default">
    <w:name w:val="Default"/>
    <w:rsid w:val="00E27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400EF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00EFD"/>
    <w:rPr>
      <w:color w:val="605E5C"/>
      <w:shd w:val="clear" w:color="auto" w:fill="E1DFDD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00EFD"/>
    <w:rPr>
      <w:rFonts w:asciiTheme="majorHAnsi" w:eastAsiaTheme="majorEastAsia" w:hAnsiTheme="majorHAnsi" w:cstheme="majorBidi"/>
      <w:color w:val="1F3763" w:themeColor="accent1" w:themeShade="7F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00EFD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Bekezdsalapbettpusa"/>
    <w:rsid w:val="00BA7E72"/>
  </w:style>
  <w:style w:type="character" w:customStyle="1" w:styleId="spellingerror">
    <w:name w:val="spellingerror"/>
    <w:basedOn w:val="Bekezdsalapbettpusa"/>
    <w:rsid w:val="00BA7E72"/>
  </w:style>
  <w:style w:type="character" w:customStyle="1" w:styleId="eop">
    <w:name w:val="eop"/>
    <w:basedOn w:val="Bekezdsalapbettpusa"/>
    <w:rsid w:val="00BA7E72"/>
  </w:style>
  <w:style w:type="paragraph" w:customStyle="1" w:styleId="paragraph">
    <w:name w:val="paragraph"/>
    <w:basedOn w:val="Norml"/>
    <w:rsid w:val="008A793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contextualspellingandgrammarerror">
    <w:name w:val="contextualspellingandgrammarerror"/>
    <w:basedOn w:val="Bekezdsalapbettpusa"/>
    <w:rsid w:val="008A7932"/>
  </w:style>
  <w:style w:type="paragraph" w:styleId="Listaszerbekezds">
    <w:name w:val="List Paragraph"/>
    <w:basedOn w:val="Norml"/>
    <w:uiPriority w:val="34"/>
    <w:qFormat/>
    <w:rsid w:val="00727669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540740"/>
    <w:rPr>
      <w:rFonts w:ascii="Bookman Old Style" w:eastAsiaTheme="majorEastAsia" w:hAnsi="Bookman Old Style" w:cstheme="majorBidi"/>
      <w:b/>
      <w:sz w:val="24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D223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D223D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D223D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D223D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D223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D22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6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668B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pPr>
      <w:spacing w:after="0" w:line="240" w:lineRule="auto"/>
    </w:pPr>
  </w:style>
  <w:style w:type="table" w:styleId="Rcsostblzat">
    <w:name w:val="Table Grid"/>
    <w:basedOn w:val="Normltblzat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fej">
    <w:name w:val="header"/>
    <w:basedOn w:val="Norml"/>
    <w:link w:val="lfej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Cm">
    <w:name w:val="Title"/>
    <w:basedOn w:val="Norml"/>
    <w:next w:val="Norml"/>
    <w:link w:val="CmChar"/>
    <w:uiPriority w:val="10"/>
    <w:qFormat/>
    <w:rsid w:val="005363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363F5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7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2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6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8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7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5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0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5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3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4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4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0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5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3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9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1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1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4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4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1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4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9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5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8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6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03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3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8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udapesttimes.hu/hungary/omrrk-wins-international-property-award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igetbudapest.hu/storage/01/BREEAM-0086-7309-1-1.pdf" TargetMode="External"/><Relationship Id="rId17" Type="http://schemas.openxmlformats.org/officeDocument/2006/relationships/hyperlink" Target="https://welovebudapest.com/en/article/2020/12/23/preserving-budapest-s-famous-paintings-inside-the-national-museum-restoration-storage-centr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hungarianinsider.com/the-national-museum-restoration-and-storage-center-is-now-operating-6213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roda@narmer.h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blog.swisspearl.com/2020/07/22/national-museum-restoration-and-storage-center-omrrk-hungary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estbuda.hu/en/cikk/20201215_national_restoration_and_museum_storage_centre_open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ADCF2B833F364496CF1F843C69E375" ma:contentTypeVersion="12" ma:contentTypeDescription="Create a new document." ma:contentTypeScope="" ma:versionID="57d774487fce4f7146a62907fe976bee">
  <xsd:schema xmlns:xsd="http://www.w3.org/2001/XMLSchema" xmlns:xs="http://www.w3.org/2001/XMLSchema" xmlns:p="http://schemas.microsoft.com/office/2006/metadata/properties" xmlns:ns2="9bc83e88-b4f2-4e9b-ae2e-0c57eb013b4b" xmlns:ns3="7ac6aef7-f634-4c44-84f2-f27873f1771f" targetNamespace="http://schemas.microsoft.com/office/2006/metadata/properties" ma:root="true" ma:fieldsID="0676fbac361cdc6d85c9063fc9512c0d" ns2:_="" ns3:_="">
    <xsd:import namespace="9bc83e88-b4f2-4e9b-ae2e-0c57eb013b4b"/>
    <xsd:import namespace="7ac6aef7-f634-4c44-84f2-f27873f17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83e88-b4f2-4e9b-ae2e-0c57eb013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c6aef7-f634-4c44-84f2-f27873f17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55F17-AD05-4A9A-8C47-23A5337E3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c83e88-b4f2-4e9b-ae2e-0c57eb013b4b"/>
    <ds:schemaRef ds:uri="7ac6aef7-f634-4c44-84f2-f27873f17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1093CD-3B90-49AA-999A-13B0081BC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26B7D-F93F-4E7E-8BC0-FD9E964A79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B92DAC-90E2-42F8-A900-BDDFBB45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1508</Words>
  <Characters>10407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Bernadett</dc:creator>
  <cp:keywords/>
  <dc:description/>
  <cp:lastModifiedBy>Nagy Bernadett</cp:lastModifiedBy>
  <cp:revision>8</cp:revision>
  <cp:lastPrinted>2021-09-24T12:36:00Z</cp:lastPrinted>
  <dcterms:created xsi:type="dcterms:W3CDTF">2021-09-23T11:26:00Z</dcterms:created>
  <dcterms:modified xsi:type="dcterms:W3CDTF">2021-09-24T12:37:00Z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0x01010035ADCF2B833F364496CF1F843C69E375</vt:lpwstr>
  </property>
</Properties>
</file>